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2FE8C0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44613655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 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B4054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E66CA2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455ADDA1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</w:rPr>
        <w:t xml:space="preserve"> </w:t>
      </w:r>
      <w:r w:rsidR="005512D2" w:rsidRPr="005C125E">
        <w:rPr>
          <w:rFonts w:ascii="Angsana New" w:eastAsia="Angsana New" w:hAnsi="Angsana New" w:cs="Angsana New"/>
          <w:sz w:val="28"/>
          <w:cs/>
        </w:rPr>
        <w:t xml:space="preserve">และวิธีการที่หน่วยงานกำกับดูแล 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50227AFF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AMZN80X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350A154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632839" w:rsidRPr="00914DF4">
        <w:rPr>
          <w:rFonts w:ascii="Angsana New" w:eastAsia="Angsana New" w:hAnsi="Angsana New" w:cs="Angsana New"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7B3DEC76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9A0997" w:rsidRPr="00914DF4">
        <w:rPr>
          <w:rFonts w:ascii="Angsana New" w:eastAsia="Angsana New" w:hAnsi="Angsana New" w:cs="Angsana New"/>
          <w:sz w:val="28"/>
        </w:rPr>
        <w:t>AMAZON.COM,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9A0997" w:rsidRPr="00914DF4">
        <w:rPr>
          <w:rFonts w:ascii="Angsana New" w:eastAsia="Angsana New" w:hAnsi="Angsana New" w:cs="Angsana New"/>
          <w:sz w:val="28"/>
        </w:rPr>
        <w:t>AMZN80X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3822FC4F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D51EA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9D51EA">
        <w:rPr>
          <w:rFonts w:ascii="Angsana New" w:eastAsia="Angsana New" w:hAnsi="Angsana New" w:cs="Angsana New"/>
          <w:sz w:val="28"/>
        </w:rPr>
        <w:t>8,000</w:t>
      </w:r>
      <w:r w:rsidR="009D51EA">
        <w:rPr>
          <w:rFonts w:ascii="Angsana New" w:eastAsia="Angsana New" w:hAnsi="Angsana New" w:cs="Angsana New" w:hint="cs"/>
          <w:sz w:val="28"/>
          <w:cs/>
        </w:rPr>
        <w:t xml:space="preserve"> ล้านหน่วย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7BC180F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725261">
        <w:rPr>
          <w:rFonts w:ascii="Angsana New" w:eastAsia="Angsana New" w:hAnsi="Angsana New" w:cs="Angsana New"/>
          <w:sz w:val="28"/>
        </w:rPr>
        <w:t>4</w:t>
      </w:r>
      <w:r w:rsidR="00D24A93">
        <w:rPr>
          <w:rFonts w:ascii="Angsana New" w:eastAsia="Angsana New" w:hAnsi="Angsana New" w:cs="Angsana New"/>
          <w:sz w:val="28"/>
        </w:rPr>
        <w:t>,</w:t>
      </w:r>
      <w:r w:rsidR="00725261">
        <w:rPr>
          <w:rFonts w:ascii="Angsana New" w:eastAsia="Angsana New" w:hAnsi="Angsana New" w:cs="Angsana New"/>
          <w:sz w:val="28"/>
        </w:rPr>
        <w:t>0</w:t>
      </w:r>
      <w:r w:rsidR="00D24A93">
        <w:rPr>
          <w:rFonts w:ascii="Angsana New" w:eastAsia="Angsana New" w:hAnsi="Angsana New" w:cs="Angsana New"/>
          <w:sz w:val="28"/>
        </w:rPr>
        <w:t>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4AF1BD6E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7520F2" w:rsidRPr="005B6BD3">
        <w:rPr>
          <w:rFonts w:ascii="Angsana New" w:eastAsia="Angsana New" w:hAnsi="Angsana New" w:cs="Angsana New"/>
          <w:sz w:val="28"/>
        </w:rPr>
        <w:t xml:space="preserve">7 </w:t>
      </w:r>
      <w:r w:rsidR="007520F2" w:rsidRPr="005B6BD3">
        <w:rPr>
          <w:rFonts w:ascii="Angsana New" w:eastAsia="Angsana New" w:hAnsi="Angsana New" w:cs="Angsana New"/>
          <w:sz w:val="28"/>
          <w:cs/>
        </w:rPr>
        <w:t xml:space="preserve">กุมภาพันธ์ </w:t>
      </w:r>
      <w:r w:rsidR="007520F2" w:rsidRPr="005B6BD3">
        <w:rPr>
          <w:rFonts w:ascii="Angsana New" w:eastAsia="Angsana New" w:hAnsi="Angsana New" w:cs="Angsana New"/>
          <w:sz w:val="28"/>
        </w:rPr>
        <w:t>2567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</w:t>
      </w:r>
      <w:bookmarkStart w:id="5" w:name="_GoBack"/>
      <w:bookmarkEnd w:id="5"/>
      <w:r w:rsidR="005544F4" w:rsidRPr="001B0B40">
        <w:rPr>
          <w:rFonts w:ascii="Angsana New" w:eastAsia="Times New Roman" w:hAnsi="Angsana New" w:cs="Angsana New"/>
          <w:sz w:val="28"/>
          <w:cs/>
        </w:rPr>
        <w:t>กใบแสดงสิทธิ</w:t>
      </w:r>
    </w:p>
    <w:p w14:paraId="2A95F76D" w14:textId="1F37B31F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9A0997" w:rsidRPr="004155DA">
        <w:rPr>
          <w:rFonts w:ascii="Angsana New" w:eastAsia="Angsana New" w:hAnsi="Angsana New" w:cs="Angsana New"/>
          <w:sz w:val="28"/>
        </w:rPr>
        <w:t>AMAZON.COM,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07DA91D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90425D" w:rsidRPr="00676618">
        <w:rPr>
          <w:rFonts w:ascii="Angsana New" w:eastAsia="Angsana New" w:hAnsi="Angsana New" w:cs="Angsana New"/>
          <w:sz w:val="28"/>
        </w:rPr>
        <w:t>Maybank Securities Pte. Ltd.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E66CA2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569E47A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E66CA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E66CA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E66CA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27D8D24" w:rsidR="00814609" w:rsidRPr="001B0B40" w:rsidRDefault="00E66CA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E66CA2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E66CA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E66CA2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C629E96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2E3C7E1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(ซึ่งปัจจุบันคือ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786838E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725261">
        <w:rPr>
          <w:rFonts w:ascii="Angsana New" w:eastAsia="Angsana New" w:hAnsi="Angsana New" w:cs="Angsana New"/>
          <w:sz w:val="28"/>
        </w:rPr>
        <w:t>25</w:t>
      </w:r>
      <w:r w:rsidR="00900FBD">
        <w:rPr>
          <w:rFonts w:ascii="Angsana New" w:eastAsia="Angsana New" w:hAnsi="Angsana New" w:cs="Angsana New"/>
          <w:sz w:val="28"/>
        </w:rPr>
        <w:t>,000</w:t>
      </w:r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F2874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073BEC7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0EC0E0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E0B2" w14:textId="77777777" w:rsidR="00E66CA2" w:rsidRDefault="00E66CA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F34168" w14:textId="77777777" w:rsidR="00E66CA2" w:rsidRDefault="00E66CA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666C6AE9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B6BD3">
      <w:rPr>
        <w:rFonts w:ascii="Angsana New" w:eastAsia="Angsana New" w:hAnsi="Angsana New" w:cs="Angsana New"/>
        <w:b/>
        <w:noProof/>
        <w:color w:val="000000"/>
        <w:sz w:val="28"/>
      </w:rPr>
      <w:t>14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5B6BD3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733C" w14:textId="77777777" w:rsidR="00E66CA2" w:rsidRDefault="00E66CA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D22CA5" w14:textId="77777777" w:rsidR="00E66CA2" w:rsidRDefault="00E66CA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6D05"/>
    <w:rsid w:val="000C281D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3597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4518"/>
    <w:rsid w:val="00616B11"/>
    <w:rsid w:val="00621E23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9EF"/>
    <w:rsid w:val="00B83354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416F4"/>
    <w:rsid w:val="00C42F4B"/>
    <w:rsid w:val="00C45B6B"/>
    <w:rsid w:val="00C566AD"/>
    <w:rsid w:val="00C61B10"/>
    <w:rsid w:val="00C65DEF"/>
    <w:rsid w:val="00C65EF0"/>
    <w:rsid w:val="00C77833"/>
    <w:rsid w:val="00C82B87"/>
    <w:rsid w:val="00C92C66"/>
    <w:rsid w:val="00C95833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897"/>
    <w:rsid w:val="00DE5C56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CAFB17-DADA-4CCD-B47C-9AD425A8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10507</Words>
  <Characters>59894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7</cp:revision>
  <cp:lastPrinted>2023-05-10T06:45:00Z</cp:lastPrinted>
  <dcterms:created xsi:type="dcterms:W3CDTF">2024-01-03T04:15:00Z</dcterms:created>
  <dcterms:modified xsi:type="dcterms:W3CDTF">2024-01-03T09:47:00Z</dcterms:modified>
</cp:coreProperties>
</file>