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</w:t>
      </w:r>
      <w:bookmarkStart w:id="1" w:name="_GoBack"/>
      <w:bookmarkEnd w:id="1"/>
      <w:r w:rsidRPr="001B0B40">
        <w:rPr>
          <w:rFonts w:ascii="Angsana New" w:eastAsia="Angsana New" w:hAnsi="Angsana New" w:cs="Angsana New"/>
          <w:b/>
          <w:bCs/>
          <w:sz w:val="28"/>
          <w:cs/>
        </w:rPr>
        <w:t>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2FE8C0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44613655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 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B4054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2" w:name="bookmark=id.30j0zll" w:colFirst="0" w:colLast="0"/>
      <w:bookmarkEnd w:id="2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3" w:name="bookmark=id.1fob9te" w:colFirst="0" w:colLast="0"/>
      <w:bookmarkEnd w:id="3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4" w:name="bookmark=id.3znysh7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5" w:name="bookmark=id.2et92p0" w:colFirst="0" w:colLast="0"/>
      <w:bookmarkEnd w:id="5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EA04C95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2B1CCC">
        <w:rPr>
          <w:rFonts w:ascii="Angsana New" w:eastAsia="Angsana New" w:hAnsi="Angsana New" w:cs="Angsana New" w:hint="cs"/>
          <w:sz w:val="28"/>
          <w:cs/>
        </w:rPr>
        <w:t>โดยไม่ชักช้า ทั้งนี้ ขึ้นอยู่กับระบบชำระราคาและส่งมอบหลักทรัพย์ที่เกี่ยวข้อง</w:t>
      </w:r>
    </w:p>
    <w:p w14:paraId="538530CC" w14:textId="6657FAD0" w:rsidR="001F1774" w:rsidRDefault="00270020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455ADDA1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</w:rPr>
        <w:t xml:space="preserve"> </w:t>
      </w:r>
      <w:r w:rsidR="005512D2" w:rsidRPr="005C125E">
        <w:rPr>
          <w:rFonts w:ascii="Angsana New" w:eastAsia="Angsana New" w:hAnsi="Angsana New" w:cs="Angsana New"/>
          <w:sz w:val="28"/>
          <w:cs/>
        </w:rPr>
        <w:t xml:space="preserve">และวิธีการที่หน่วยงานกำกับดูแล 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50B016CB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50227AFF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632839" w:rsidRPr="00914DF4">
        <w:rPr>
          <w:rFonts w:ascii="Angsana New" w:eastAsia="Angsana New" w:hAnsi="Angsana New" w:cs="Angsana New"/>
          <w:b/>
          <w:bCs/>
          <w:sz w:val="28"/>
        </w:rPr>
        <w:t>AMAZON.COM,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>แนสแด็ก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632839" w:rsidRPr="00914DF4">
        <w:rPr>
          <w:rFonts w:ascii="Angsana New" w:eastAsia="Angsana New" w:hAnsi="Angsana New" w:cs="Angsana New"/>
          <w:b/>
          <w:bCs/>
          <w:sz w:val="28"/>
        </w:rPr>
        <w:t>AMZN80X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350A1546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632839" w:rsidRPr="00914DF4">
        <w:rPr>
          <w:rFonts w:ascii="Angsana New" w:eastAsia="Angsana New" w:hAnsi="Angsana New" w:cs="Angsana New"/>
          <w:sz w:val="28"/>
        </w:rPr>
        <w:t>AMAZON.COM,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32839" w:rsidRPr="00914DF4">
        <w:rPr>
          <w:rFonts w:ascii="Angsana New" w:hAnsi="Angsana New" w:cs="Angsana New" w:hint="cs"/>
          <w:b/>
          <w:bCs/>
          <w:noProof/>
          <w:sz w:val="28"/>
          <w:cs/>
        </w:rPr>
        <w:t>แนสแด็ก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7B3DEC76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9A0997" w:rsidRPr="00914DF4">
        <w:rPr>
          <w:rFonts w:ascii="Angsana New" w:eastAsia="Angsana New" w:hAnsi="Angsana New" w:cs="Angsana New"/>
          <w:sz w:val="28"/>
        </w:rPr>
        <w:t>AMAZON.COM,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9A0997" w:rsidRPr="00914DF4">
        <w:rPr>
          <w:rFonts w:ascii="Angsana New" w:eastAsia="Angsana New" w:hAnsi="Angsana New" w:cs="Angsana New"/>
          <w:sz w:val="28"/>
        </w:rPr>
        <w:t>AMZN80X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63E78FE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7BC180F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725261">
        <w:rPr>
          <w:rFonts w:ascii="Angsana New" w:eastAsia="Angsana New" w:hAnsi="Angsana New" w:cs="Angsana New"/>
          <w:sz w:val="28"/>
        </w:rPr>
        <w:t>4</w:t>
      </w:r>
      <w:r w:rsidR="00D24A93">
        <w:rPr>
          <w:rFonts w:ascii="Angsana New" w:eastAsia="Angsana New" w:hAnsi="Angsana New" w:cs="Angsana New"/>
          <w:sz w:val="28"/>
        </w:rPr>
        <w:t>,</w:t>
      </w:r>
      <w:r w:rsidR="00725261">
        <w:rPr>
          <w:rFonts w:ascii="Angsana New" w:eastAsia="Angsana New" w:hAnsi="Angsana New" w:cs="Angsana New"/>
          <w:sz w:val="28"/>
        </w:rPr>
        <w:t>0</w:t>
      </w:r>
      <w:r w:rsidR="00D24A93">
        <w:rPr>
          <w:rFonts w:ascii="Angsana New" w:eastAsia="Angsana New" w:hAnsi="Angsana New" w:cs="Angsana New"/>
          <w:sz w:val="28"/>
        </w:rPr>
        <w:t>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946F03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BD8E76D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1F37B31F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9A0997" w:rsidRPr="004155DA">
        <w:rPr>
          <w:rFonts w:ascii="Angsana New" w:eastAsia="Angsana New" w:hAnsi="Angsana New" w:cs="Angsana New"/>
          <w:sz w:val="28"/>
        </w:rPr>
        <w:t>AMAZON.COM,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9A0997" w:rsidRPr="004155DA">
        <w:rPr>
          <w:rFonts w:ascii="Angsana New" w:hAnsi="Angsana New" w:cs="Angsana New"/>
          <w:noProof/>
          <w:sz w:val="28"/>
          <w:cs/>
        </w:rPr>
        <w:t>แนสแด็ก (</w:t>
      </w:r>
      <w:r w:rsidR="009A0997" w:rsidRPr="004155DA">
        <w:rPr>
          <w:rFonts w:ascii="Angsana New" w:hAnsi="Angsana New" w:cs="Angsana New"/>
          <w:noProof/>
          <w:sz w:val="28"/>
        </w:rPr>
        <w:t>NASDAQ)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50D2EB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FC6AD3" w:rsidRPr="005C125E">
        <w:rPr>
          <w:rFonts w:ascii="Angsana New" w:eastAsia="Angsana New" w:hAnsi="Angsana New" w:cs="Angsana New"/>
          <w:sz w:val="28"/>
        </w:rPr>
        <w:t>[</w:t>
      </w:r>
      <w:r w:rsidR="00FC6AD3" w:rsidRPr="005C125E">
        <w:rPr>
          <w:rFonts w:ascii="Angsana New" w:eastAsia="Angsana New" w:hAnsi="Angsana New" w:cs="Angsana New"/>
          <w:sz w:val="28"/>
        </w:rPr>
        <w:sym w:font="Wingdings 2" w:char="F097"/>
      </w:r>
      <w:r w:rsidR="00FC6AD3" w:rsidRPr="005C125E">
        <w:rPr>
          <w:rFonts w:ascii="Angsana New" w:eastAsia="Angsana New" w:hAnsi="Angsana New" w:cs="Angsana New"/>
          <w:sz w:val="28"/>
        </w:rPr>
        <w:t>]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27002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32F2ED5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1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27002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>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27002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27002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727D8D24" w:rsidR="00814609" w:rsidRPr="001B0B40" w:rsidRDefault="0027002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270020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27002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270020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C629E96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2E3C7E1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ใบแสดงสิทธิในตลาดหลักทรัพย์ไทย (ซึ่งปัจจุบันคือ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แนสแด็ก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786838E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725261">
        <w:rPr>
          <w:rFonts w:ascii="Angsana New" w:eastAsia="Angsana New" w:hAnsi="Angsana New" w:cs="Angsana New"/>
          <w:sz w:val="28"/>
        </w:rPr>
        <w:t>25</w:t>
      </w:r>
      <w:r w:rsidR="00900FBD">
        <w:rPr>
          <w:rFonts w:ascii="Angsana New" w:eastAsia="Angsana New" w:hAnsi="Angsana New" w:cs="Angsana New"/>
          <w:sz w:val="28"/>
        </w:rPr>
        <w:t>,000</w:t>
      </w:r>
      <w:r w:rsidR="003B3E08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F2874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073BEC7C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0EC0E0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7777777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FA03" w14:textId="77777777" w:rsidR="00270020" w:rsidRDefault="002700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31E18F" w14:textId="77777777" w:rsidR="00270020" w:rsidRDefault="002700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57CF171E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D73CB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D73CB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006E1" w14:textId="77777777" w:rsidR="00270020" w:rsidRDefault="002700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2EA38E7" w14:textId="77777777" w:rsidR="00270020" w:rsidRDefault="002700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6D05"/>
    <w:rsid w:val="000C281D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0020"/>
    <w:rsid w:val="002721CF"/>
    <w:rsid w:val="00273570"/>
    <w:rsid w:val="00273AE9"/>
    <w:rsid w:val="002805BC"/>
    <w:rsid w:val="002828E9"/>
    <w:rsid w:val="0029449A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5E0E"/>
    <w:rsid w:val="00456BEB"/>
    <w:rsid w:val="00460DB2"/>
    <w:rsid w:val="00461423"/>
    <w:rsid w:val="00462B71"/>
    <w:rsid w:val="004663F8"/>
    <w:rsid w:val="00470038"/>
    <w:rsid w:val="0047087C"/>
    <w:rsid w:val="004917E3"/>
    <w:rsid w:val="0049465F"/>
    <w:rsid w:val="00494A19"/>
    <w:rsid w:val="004A1225"/>
    <w:rsid w:val="004A1298"/>
    <w:rsid w:val="004A1832"/>
    <w:rsid w:val="004A3F57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A2C8E"/>
    <w:rsid w:val="005A3597"/>
    <w:rsid w:val="005A7F87"/>
    <w:rsid w:val="005B1344"/>
    <w:rsid w:val="005B2708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4518"/>
    <w:rsid w:val="00616B11"/>
    <w:rsid w:val="00621E23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F36"/>
    <w:rsid w:val="00680F37"/>
    <w:rsid w:val="006840E0"/>
    <w:rsid w:val="0069012C"/>
    <w:rsid w:val="00693E30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E049D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5711"/>
    <w:rsid w:val="00752073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E61D1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9EF"/>
    <w:rsid w:val="00B83354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416F4"/>
    <w:rsid w:val="00C42F4B"/>
    <w:rsid w:val="00C45B6B"/>
    <w:rsid w:val="00C566AD"/>
    <w:rsid w:val="00C61B10"/>
    <w:rsid w:val="00C65DEF"/>
    <w:rsid w:val="00C65EF0"/>
    <w:rsid w:val="00C77833"/>
    <w:rsid w:val="00C82B87"/>
    <w:rsid w:val="00C92C66"/>
    <w:rsid w:val="00C95833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897"/>
    <w:rsid w:val="00DE5C56"/>
    <w:rsid w:val="00DF127B"/>
    <w:rsid w:val="00E0332A"/>
    <w:rsid w:val="00E12D14"/>
    <w:rsid w:val="00E13318"/>
    <w:rsid w:val="00E1528D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7041C"/>
    <w:rsid w:val="00E74AF4"/>
    <w:rsid w:val="00E831E5"/>
    <w:rsid w:val="00E92580"/>
    <w:rsid w:val="00EA68D0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D73C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7F2E11-3CEA-4507-B2AF-94AD68F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10478</Words>
  <Characters>59727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11</cp:revision>
  <cp:lastPrinted>2023-05-10T06:45:00Z</cp:lastPrinted>
  <dcterms:created xsi:type="dcterms:W3CDTF">2023-11-08T02:00:00Z</dcterms:created>
  <dcterms:modified xsi:type="dcterms:W3CDTF">2023-11-17T08:20:00Z</dcterms:modified>
</cp:coreProperties>
</file>