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HEWLETT PACKARD ENTERPRISE COMPANY</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HEWLETT PACKARD ENTERPRISE COMPANY</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นิวยอร์ก (NYSE)</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 ("HPE")</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HEWLETT PACKARD ENTERPRISE COMPANY</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นิวยอร์ก (NYSE)</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HPE80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13A2AD22"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w:t>
      </w:r>
      <w:r w:rsidR="00041F14">
        <w:rPr>
          <w:rFonts w:asciiTheme="majorBidi" w:hAnsiTheme="majorBidi" w:cs="Angsana New"/>
          <w:b/>
          <w:bCs/>
          <w:noProof/>
          <w:sz w:val="28"/>
        </w:rPr>
        <w:t>,00</w:t>
      </w:r>
      <w:r w:rsidR="00A27AC1">
        <w:rPr>
          <w:rFonts w:asciiTheme="majorBidi" w:hAnsiTheme="majorBidi" w:cs="Angsana New"/>
          <w:b/>
          <w:bCs/>
          <w:noProof/>
          <w:sz w:val="28"/>
        </w:rPr>
        <w:t>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6372918C"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0C5333"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HEWLETT PACKARD ENTERPRISE COMPANY</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1701 E Mossy Oaks Road</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Spring, TX 77389, United States</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+1-678-259-9858</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https://www.hpe.com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นิวยอร์ก (NYSE)</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https://www.nyse.com/quote/XNYS:HPE</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1A30DB80" w14:textId="5F6179E4"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Overview</w:t>
      </w:r>
    </w:p>
    <w:p w14:paraId="50D4406E" w14:textId="00E632A0"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Hewlett Packard Enterprise (NYSE: HPE) is a global edge-to-cloud technology company building the integrated hardware, software, and services infrastructure that enterprises and sovereign governments require to capture, store, analyze, and act upon data in an increasingly AI-driven world. Founded with a mission to help customers accelerate outcomes by unlocking the value of their data wherever it lives — at the edge, in the data center, or in the cloud — HPE operates as a vertically </w:t>
      </w:r>
      <w:proofErr w:type="gramStart"/>
      <w:r w:rsidRPr="008E2CBD">
        <w:rPr>
          <w:rFonts w:asciiTheme="majorBidi" w:hAnsiTheme="majorBidi" w:cstheme="majorBidi"/>
          <w:sz w:val="28"/>
          <w:szCs w:val="28"/>
        </w:rPr>
        <w:t>oriented innovation</w:t>
      </w:r>
      <w:proofErr w:type="gramEnd"/>
      <w:r w:rsidRPr="008E2CBD">
        <w:rPr>
          <w:rFonts w:asciiTheme="majorBidi" w:hAnsiTheme="majorBidi" w:cstheme="majorBidi"/>
          <w:sz w:val="28"/>
          <w:szCs w:val="28"/>
        </w:rPr>
        <w:t xml:space="preserve"> engine spanning </w:t>
      </w:r>
      <w:proofErr w:type="spellStart"/>
      <w:r w:rsidRPr="008E2CBD">
        <w:rPr>
          <w:rFonts w:asciiTheme="majorBidi" w:hAnsiTheme="majorBidi" w:cstheme="majorBidi"/>
          <w:sz w:val="28"/>
          <w:szCs w:val="28"/>
        </w:rPr>
        <w:t>compute</w:t>
      </w:r>
      <w:proofErr w:type="spellEnd"/>
      <w:r w:rsidRPr="008E2CBD">
        <w:rPr>
          <w:rFonts w:asciiTheme="majorBidi" w:hAnsiTheme="majorBidi" w:cstheme="majorBidi"/>
          <w:sz w:val="28"/>
          <w:szCs w:val="28"/>
        </w:rPr>
        <w:t>, networking, hybrid cloud, and AI infrastructure. Following its transformative acquisition of Juniper Networks, HPE has repositioned itself as a networking-first, AI-native technology platform delivering high-margin, software-led recurring solutions at global scale.</w:t>
      </w:r>
    </w:p>
    <w:p w14:paraId="1AB94857" w14:textId="5118F6C3"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Principal Business Operations</w:t>
      </w:r>
    </w:p>
    <w:p w14:paraId="399F87E9" w14:textId="398E149B"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lastRenderedPageBreak/>
        <w:t>The operations are centered on a comprehensive, integrated technology ecosystem across four core operational segments:</w:t>
      </w:r>
    </w:p>
    <w:p w14:paraId="382DDB2C"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Server Segment:</w:t>
      </w:r>
      <w:r w:rsidRPr="008E2CBD">
        <w:rPr>
          <w:rFonts w:asciiTheme="majorBidi" w:hAnsiTheme="majorBidi" w:cstheme="majorBidi"/>
          <w:sz w:val="28"/>
          <w:szCs w:val="28"/>
        </w:rPr>
        <w:t xml:space="preserve"> Encompasses the design, manufacturing, and sale of industry-standard </w:t>
      </w:r>
      <w:proofErr w:type="gramStart"/>
      <w:r w:rsidRPr="008E2CBD">
        <w:rPr>
          <w:rFonts w:asciiTheme="majorBidi" w:hAnsiTheme="majorBidi" w:cstheme="majorBidi"/>
          <w:sz w:val="28"/>
          <w:szCs w:val="28"/>
        </w:rPr>
        <w:t>compute</w:t>
      </w:r>
      <w:proofErr w:type="gramEnd"/>
      <w:r w:rsidRPr="008E2CBD">
        <w:rPr>
          <w:rFonts w:asciiTheme="majorBidi" w:hAnsiTheme="majorBidi" w:cstheme="majorBidi"/>
          <w:sz w:val="28"/>
          <w:szCs w:val="28"/>
        </w:rPr>
        <w:t xml:space="preserve"> platforms, including the HPE ProLiant Gen 11 and Gen 12 server lines used for general-purpose enterprise workloads, alongside specialized high-density AI server systems — referred to internally as AI Factories — engineered for training and running large language models and high-performance computing workloads.</w:t>
      </w:r>
    </w:p>
    <w:p w14:paraId="523E058B"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Networking Segment:</w:t>
      </w:r>
      <w:r w:rsidRPr="008E2CBD">
        <w:rPr>
          <w:rFonts w:asciiTheme="majorBidi" w:hAnsiTheme="majorBidi" w:cstheme="majorBidi"/>
          <w:sz w:val="28"/>
          <w:szCs w:val="28"/>
        </w:rPr>
        <w:t xml:space="preserve"> Centered on HPE's AI-native networking portfolio following the acquisition of Juniper Networks, delivering campus and branch switching, data center interconnects, and wide-area routing infrastructure unified under a single cloud-managed software platform powered by Juniper's Mist AI engine for automated network operations, troubleshooting, and optimization.</w:t>
      </w:r>
    </w:p>
    <w:p w14:paraId="3067882E"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Hybrid Cloud Segment:</w:t>
      </w:r>
      <w:r w:rsidRPr="008E2CBD">
        <w:rPr>
          <w:rFonts w:asciiTheme="majorBidi" w:hAnsiTheme="majorBidi" w:cstheme="majorBidi"/>
          <w:sz w:val="28"/>
          <w:szCs w:val="28"/>
        </w:rPr>
        <w:t xml:space="preserve"> Driven by the HPE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which delivers cloud-like consumption models for on-premises and co-located infrastructure, including HPE </w:t>
      </w:r>
      <w:proofErr w:type="spellStart"/>
      <w:r w:rsidRPr="008E2CBD">
        <w:rPr>
          <w:rFonts w:asciiTheme="majorBidi" w:hAnsiTheme="majorBidi" w:cstheme="majorBidi"/>
          <w:sz w:val="28"/>
          <w:szCs w:val="28"/>
        </w:rPr>
        <w:t>Alletra</w:t>
      </w:r>
      <w:proofErr w:type="spellEnd"/>
      <w:r w:rsidRPr="008E2CBD">
        <w:rPr>
          <w:rFonts w:asciiTheme="majorBidi" w:hAnsiTheme="majorBidi" w:cstheme="majorBidi"/>
          <w:sz w:val="28"/>
          <w:szCs w:val="28"/>
        </w:rPr>
        <w:t xml:space="preserve"> MP storage, data management software, and </w:t>
      </w:r>
      <w:proofErr w:type="spellStart"/>
      <w:r w:rsidRPr="008E2CBD">
        <w:rPr>
          <w:rFonts w:asciiTheme="majorBidi" w:hAnsiTheme="majorBidi" w:cstheme="majorBidi"/>
          <w:sz w:val="28"/>
          <w:szCs w:val="28"/>
        </w:rPr>
        <w:t>OpsRamp</w:t>
      </w:r>
      <w:proofErr w:type="spellEnd"/>
      <w:r w:rsidRPr="008E2CBD">
        <w:rPr>
          <w:rFonts w:asciiTheme="majorBidi" w:hAnsiTheme="majorBidi" w:cstheme="majorBidi"/>
          <w:sz w:val="28"/>
          <w:szCs w:val="28"/>
        </w:rPr>
        <w:t xml:space="preserve"> IT operations management. This segment enables enterprises to adopt as-a-service IT delivery without fully migrating workloads to public hyperscale clouds.</w:t>
      </w:r>
    </w:p>
    <w:p w14:paraId="0EE008A8" w14:textId="77777777" w:rsidR="008E2CBD" w:rsidRPr="008E2CBD" w:rsidRDefault="008E2CBD" w:rsidP="008E2CBD">
      <w:pPr>
        <w:pStyle w:val="font-claude-response-body"/>
        <w:numPr>
          <w:ilvl w:val="0"/>
          <w:numId w:val="23"/>
        </w:numPr>
        <w:jc w:val="both"/>
        <w:rPr>
          <w:rFonts w:asciiTheme="majorBidi" w:hAnsiTheme="majorBidi" w:cstheme="majorBidi"/>
          <w:sz w:val="28"/>
          <w:szCs w:val="28"/>
        </w:rPr>
      </w:pPr>
      <w:r w:rsidRPr="008E2CBD">
        <w:rPr>
          <w:rStyle w:val="Strong"/>
          <w:rFonts w:asciiTheme="majorBidi" w:hAnsiTheme="majorBidi" w:cstheme="majorBidi"/>
          <w:sz w:val="28"/>
          <w:szCs w:val="28"/>
        </w:rPr>
        <w:t>Financial Services Segment:</w:t>
      </w:r>
      <w:r w:rsidRPr="008E2CBD">
        <w:rPr>
          <w:rFonts w:asciiTheme="majorBidi" w:hAnsiTheme="majorBidi" w:cstheme="majorBidi"/>
          <w:sz w:val="28"/>
          <w:szCs w:val="28"/>
        </w:rPr>
        <w:t xml:space="preserve"> Provides flexible financing, leasing, and asset management solutions that allow customers and channel partners to acquire HPE infrastructure on consumption-based and lifecycle-managed terms, lowering upfront capital barriers and extending long-term customer relationships.</w:t>
      </w:r>
    </w:p>
    <w:p w14:paraId="6015898F" w14:textId="354B0CDD"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Supply Chain and Infrastructure</w:t>
      </w:r>
    </w:p>
    <w:p w14:paraId="24BCE035" w14:textId="45BF89C8"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HPE operates a globally distributed manufacturing and go-to-market infrastructure model, combining owned production facilities with a deeply integrated network of contract manufacturers, component suppliers, and logistics partners. The company sources critical silicon, memory, and storage components from leading semiconductor vendors and manages a complex multi-tier supplier ecosystem across North America, Europe, and Asia-Pacific. Internally, HPE maintains significant research and development infrastructure at its global innovation centers, where it develops proprietary silicon architectures, cooling systems, and software platforms. Its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cloud operations are underpinned by a global partner ecosystem of co-location providers, system integrators, and managed service operators enabling customers to deploy and consume hybrid cloud infrastructure at the edge and </w:t>
      </w:r>
      <w:proofErr w:type="gramStart"/>
      <w:r w:rsidRPr="008E2CBD">
        <w:rPr>
          <w:rFonts w:asciiTheme="majorBidi" w:hAnsiTheme="majorBidi" w:cstheme="majorBidi"/>
          <w:sz w:val="28"/>
          <w:szCs w:val="28"/>
        </w:rPr>
        <w:t>on-premises</w:t>
      </w:r>
      <w:proofErr w:type="gramEnd"/>
      <w:r w:rsidRPr="008E2CBD">
        <w:rPr>
          <w:rFonts w:asciiTheme="majorBidi" w:hAnsiTheme="majorBidi" w:cstheme="majorBidi"/>
          <w:sz w:val="28"/>
          <w:szCs w:val="28"/>
        </w:rPr>
        <w:t>.</w:t>
      </w:r>
    </w:p>
    <w:p w14:paraId="14ED726C" w14:textId="744B644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Strategy and Future Prospects</w:t>
      </w:r>
    </w:p>
    <w:p w14:paraId="7046D694" w14:textId="499FDCFB"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The strategy is built on leveraging structural advantages in networking, AI infrastructure, and software-led recurring revenue to establish HPE as the defining hybrid IT platform for enterprise and sovereign customers. Key strategic pillars include:</w:t>
      </w:r>
    </w:p>
    <w:p w14:paraId="68A2E9DE"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Networking Market Disruption:</w:t>
      </w:r>
      <w:r w:rsidRPr="008E2CBD">
        <w:rPr>
          <w:rFonts w:asciiTheme="majorBidi" w:hAnsiTheme="majorBidi" w:cstheme="majorBidi"/>
          <w:sz w:val="28"/>
          <w:szCs w:val="28"/>
        </w:rPr>
        <w:t xml:space="preserve"> Leveraging the Juniper acquisition to deliver an industry-leading, AI-native networking portfolio spanning campus, branch, data center, and wide-area infrastructure — with Mist AI as the unifying intelligence layer — to capture profitable share in one of enterprise IT's highest-margin segments.</w:t>
      </w:r>
    </w:p>
    <w:p w14:paraId="4CF2DE76"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Profitable AI Infrastructure Capture:</w:t>
      </w:r>
      <w:r w:rsidRPr="008E2CBD">
        <w:rPr>
          <w:rFonts w:asciiTheme="majorBidi" w:hAnsiTheme="majorBidi" w:cstheme="majorBidi"/>
          <w:sz w:val="28"/>
          <w:szCs w:val="28"/>
        </w:rPr>
        <w:t xml:space="preserve"> Positioning HPE's AI server and AI Factory portfolio to serve sovereign governments, large enterprises, and AI model builders requiring on-premises or sovereign-controlled AI compute, differentiating from hyperscale public cloud deployments </w:t>
      </w:r>
      <w:proofErr w:type="gramStart"/>
      <w:r w:rsidRPr="008E2CBD">
        <w:rPr>
          <w:rFonts w:asciiTheme="majorBidi" w:hAnsiTheme="majorBidi" w:cstheme="majorBidi"/>
          <w:sz w:val="28"/>
          <w:szCs w:val="28"/>
        </w:rPr>
        <w:t>on the basis of</w:t>
      </w:r>
      <w:proofErr w:type="gramEnd"/>
      <w:r w:rsidRPr="008E2CBD">
        <w:rPr>
          <w:rFonts w:asciiTheme="majorBidi" w:hAnsiTheme="majorBidi" w:cstheme="majorBidi"/>
          <w:sz w:val="28"/>
          <w:szCs w:val="28"/>
        </w:rPr>
        <w:t xml:space="preserve"> data sovereignty, security, and customization.</w:t>
      </w:r>
    </w:p>
    <w:p w14:paraId="1C4D3587"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proofErr w:type="spellStart"/>
      <w:r w:rsidRPr="008E2CBD">
        <w:rPr>
          <w:rStyle w:val="Strong"/>
          <w:rFonts w:asciiTheme="majorBidi" w:hAnsiTheme="majorBidi" w:cstheme="majorBidi"/>
          <w:sz w:val="28"/>
          <w:szCs w:val="28"/>
        </w:rPr>
        <w:t>GreenLake</w:t>
      </w:r>
      <w:proofErr w:type="spellEnd"/>
      <w:r w:rsidRPr="008E2CBD">
        <w:rPr>
          <w:rStyle w:val="Strong"/>
          <w:rFonts w:asciiTheme="majorBidi" w:hAnsiTheme="majorBidi" w:cstheme="majorBidi"/>
          <w:sz w:val="28"/>
          <w:szCs w:val="28"/>
        </w:rPr>
        <w:t xml:space="preserve"> ARR Acceleration:</w:t>
      </w:r>
      <w:r w:rsidRPr="008E2CBD">
        <w:rPr>
          <w:rFonts w:asciiTheme="majorBidi" w:hAnsiTheme="majorBidi" w:cstheme="majorBidi"/>
          <w:sz w:val="28"/>
          <w:szCs w:val="28"/>
        </w:rPr>
        <w:t xml:space="preserve"> Scaling the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into the dominant hybrid cloud consumption engine, targeting an annualized revenue run rate well above $3 billion, with over 80% of ARR now tied to higher-margin software and services offerings.</w:t>
      </w:r>
    </w:p>
    <w:p w14:paraId="590B3BA8"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Catalyst Structural Cost Savings:</w:t>
      </w:r>
      <w:r w:rsidRPr="008E2CBD">
        <w:rPr>
          <w:rFonts w:asciiTheme="majorBidi" w:hAnsiTheme="majorBidi" w:cstheme="majorBidi"/>
          <w:sz w:val="28"/>
          <w:szCs w:val="28"/>
        </w:rPr>
        <w:t xml:space="preserve"> Executing the Catalyst program to deliver at least $350 million in gross annual cost savings by fiscal year 2028, combined with an estimated $600 million in Juniper integration synergies, targeting roughly $1 billion in total structural cost improvements to drive meaningful operating leverage expansion.</w:t>
      </w:r>
    </w:p>
    <w:p w14:paraId="1EFC7E0A" w14:textId="77777777" w:rsidR="008E2CBD" w:rsidRPr="008E2CBD" w:rsidRDefault="008E2CBD" w:rsidP="008E2CBD">
      <w:pPr>
        <w:pStyle w:val="font-claude-response-body"/>
        <w:numPr>
          <w:ilvl w:val="0"/>
          <w:numId w:val="24"/>
        </w:numPr>
        <w:jc w:val="both"/>
        <w:rPr>
          <w:rFonts w:asciiTheme="majorBidi" w:hAnsiTheme="majorBidi" w:cstheme="majorBidi"/>
          <w:sz w:val="28"/>
          <w:szCs w:val="28"/>
        </w:rPr>
      </w:pPr>
      <w:r w:rsidRPr="008E2CBD">
        <w:rPr>
          <w:rStyle w:val="Strong"/>
          <w:rFonts w:asciiTheme="majorBidi" w:hAnsiTheme="majorBidi" w:cstheme="majorBidi"/>
          <w:sz w:val="28"/>
          <w:szCs w:val="28"/>
        </w:rPr>
        <w:t>Next-Generation Server Platform Transition:</w:t>
      </w:r>
      <w:r w:rsidRPr="008E2CBD">
        <w:rPr>
          <w:rFonts w:asciiTheme="majorBidi" w:hAnsiTheme="majorBidi" w:cstheme="majorBidi"/>
          <w:sz w:val="28"/>
          <w:szCs w:val="28"/>
        </w:rPr>
        <w:t xml:space="preserve"> Driving customers toward HPE ProLiant Gen 12 platforms to expand average unit prices, software </w:t>
      </w:r>
      <w:proofErr w:type="gramStart"/>
      <w:r w:rsidRPr="008E2CBD">
        <w:rPr>
          <w:rFonts w:asciiTheme="majorBidi" w:hAnsiTheme="majorBidi" w:cstheme="majorBidi"/>
          <w:sz w:val="28"/>
          <w:szCs w:val="28"/>
        </w:rPr>
        <w:t>attach</w:t>
      </w:r>
      <w:proofErr w:type="gramEnd"/>
      <w:r w:rsidRPr="008E2CBD">
        <w:rPr>
          <w:rFonts w:asciiTheme="majorBidi" w:hAnsiTheme="majorBidi" w:cstheme="majorBidi"/>
          <w:sz w:val="28"/>
          <w:szCs w:val="28"/>
        </w:rPr>
        <w:t xml:space="preserve"> rates, and services revenue per installed compute unit.</w:t>
      </w:r>
    </w:p>
    <w:p w14:paraId="37047168" w14:textId="407F7AE6"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Value Propositions</w:t>
      </w:r>
    </w:p>
    <w:p w14:paraId="4D6ED20C" w14:textId="0B542B0E"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HPE aligns its value with the radical simplification of hybrid IT complexity and the acceleration of AI and data outcomes for enterprise customers. For networking buyers, the Juniper-powered AI-native portfolio delivers autonomous network operations and unified visibility from edge to data center, eliminating the management overhead of fragmented multi-vendor environments. For compute and AI infrastructure buyers, HPE's AI Factory solutions provide purpose-built, sovereign-grade environments for model training and inference without the data sovereignty risks of public cloud. For hybrid cloud adopters,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delivers the elasticity and consumption economics of public cloud on-premises, enabling CFOs and CIOs to shift IT spending from capital expenditure to predictable operating expenditure.</w:t>
      </w:r>
    </w:p>
    <w:p w14:paraId="463C453A" w14:textId="1138AE32"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Customer Segments</w:t>
      </w:r>
    </w:p>
    <w:p w14:paraId="65B8F5FA" w14:textId="759A9468"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 xml:space="preserve">HPE serves a highly diversified base of global </w:t>
      </w:r>
      <w:proofErr w:type="gramStart"/>
      <w:r w:rsidRPr="008E2CBD">
        <w:rPr>
          <w:rFonts w:asciiTheme="majorBidi" w:hAnsiTheme="majorBidi" w:cstheme="majorBidi"/>
          <w:sz w:val="28"/>
          <w:szCs w:val="28"/>
        </w:rPr>
        <w:t>enterprise</w:t>
      </w:r>
      <w:proofErr w:type="gramEnd"/>
      <w:r w:rsidRPr="008E2CBD">
        <w:rPr>
          <w:rFonts w:asciiTheme="majorBidi" w:hAnsiTheme="majorBidi" w:cstheme="majorBidi"/>
          <w:sz w:val="28"/>
          <w:szCs w:val="28"/>
        </w:rPr>
        <w:t>, government, and channel-driven customers:</w:t>
      </w:r>
    </w:p>
    <w:p w14:paraId="03C15543"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Large Enterprises and Global 2000 Corporations:</w:t>
      </w:r>
      <w:r w:rsidRPr="008E2CBD">
        <w:rPr>
          <w:rFonts w:asciiTheme="majorBidi" w:hAnsiTheme="majorBidi" w:cstheme="majorBidi"/>
          <w:sz w:val="28"/>
          <w:szCs w:val="28"/>
        </w:rPr>
        <w:t xml:space="preserve"> Complex multinational organizations requiring hybrid </w:t>
      </w:r>
      <w:proofErr w:type="spellStart"/>
      <w:r w:rsidRPr="008E2CBD">
        <w:rPr>
          <w:rFonts w:asciiTheme="majorBidi" w:hAnsiTheme="majorBidi" w:cstheme="majorBidi"/>
          <w:sz w:val="28"/>
          <w:szCs w:val="28"/>
        </w:rPr>
        <w:t>compute</w:t>
      </w:r>
      <w:proofErr w:type="spellEnd"/>
      <w:r w:rsidRPr="008E2CBD">
        <w:rPr>
          <w:rFonts w:asciiTheme="majorBidi" w:hAnsiTheme="majorBidi" w:cstheme="majorBidi"/>
          <w:sz w:val="28"/>
          <w:szCs w:val="28"/>
        </w:rPr>
        <w:t>, networking, and storage infrastructure to support mission-critical applications, data analytics, and AI workloads across distributed geographic footprints.</w:t>
      </w:r>
    </w:p>
    <w:p w14:paraId="2AF08BDC"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Sovereign Governments and National Security Entities:</w:t>
      </w:r>
      <w:r w:rsidRPr="008E2CBD">
        <w:rPr>
          <w:rFonts w:asciiTheme="majorBidi" w:hAnsiTheme="majorBidi" w:cstheme="majorBidi"/>
          <w:sz w:val="28"/>
          <w:szCs w:val="28"/>
        </w:rPr>
        <w:t xml:space="preserve"> Defense agencies, intelligence organizations, and national research institutions requiring air-gapped, sovereign AI compute and secure networking infrastructure compliant with stringent data residency and classification requirements.</w:t>
      </w:r>
    </w:p>
    <w:p w14:paraId="69324A51"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AI Model Builders and Service Providers:</w:t>
      </w:r>
      <w:r w:rsidRPr="008E2CBD">
        <w:rPr>
          <w:rFonts w:asciiTheme="majorBidi" w:hAnsiTheme="majorBidi" w:cstheme="majorBidi"/>
          <w:sz w:val="28"/>
          <w:szCs w:val="28"/>
        </w:rPr>
        <w:t xml:space="preserve"> Frontier AI labs, cloud service providers, and commercial AI platform companies requiring high-density GPU compute clusters and high-bandwidth networking fabrics to train and serve large-scale models.</w:t>
      </w:r>
    </w:p>
    <w:p w14:paraId="4959E5A2" w14:textId="77777777" w:rsidR="008E2CBD" w:rsidRPr="008E2CBD" w:rsidRDefault="008E2CBD" w:rsidP="008E2CBD">
      <w:pPr>
        <w:pStyle w:val="font-claude-response-body"/>
        <w:numPr>
          <w:ilvl w:val="0"/>
          <w:numId w:val="25"/>
        </w:numPr>
        <w:jc w:val="both"/>
        <w:rPr>
          <w:rFonts w:asciiTheme="majorBidi" w:hAnsiTheme="majorBidi" w:cstheme="majorBidi"/>
          <w:sz w:val="28"/>
          <w:szCs w:val="28"/>
        </w:rPr>
      </w:pPr>
      <w:r w:rsidRPr="008E2CBD">
        <w:rPr>
          <w:rStyle w:val="Strong"/>
          <w:rFonts w:asciiTheme="majorBidi" w:hAnsiTheme="majorBidi" w:cstheme="majorBidi"/>
          <w:sz w:val="28"/>
          <w:szCs w:val="28"/>
        </w:rPr>
        <w:t>Mid-Market and SME Enterprises via Channel:</w:t>
      </w:r>
      <w:r w:rsidRPr="008E2CBD">
        <w:rPr>
          <w:rFonts w:asciiTheme="majorBidi" w:hAnsiTheme="majorBidi" w:cstheme="majorBidi"/>
          <w:sz w:val="28"/>
          <w:szCs w:val="28"/>
        </w:rPr>
        <w:t xml:space="preserve"> Smaller and mid-sized businesses accessing HPE infrastructure through a global network of value-added resellers, system integrators, and managed service providers delivering right-sized hybrid IT solutions.</w:t>
      </w:r>
    </w:p>
    <w:p w14:paraId="2155E924" w14:textId="77DDC09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Customer Relationships</w:t>
      </w:r>
    </w:p>
    <w:p w14:paraId="4C5735F8" w14:textId="467F6BC3"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Trust is established through deep technical consultative engagement, long-term lifecycle services partnerships, and the operational reliability of HPE's globally deployed infrastructure base. For strategic enterprise and government accounts, HPE maintains dedicated named account teams and solution architects embedded in customer environments across multi-year procurement cycles. The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platform further deepens customer stickiness by embedding HPE infrastructure, software, and services into customer operating models through consumption-based contracts that evolve alongside workload demands. HPE's partner ecosystem — spanning thousands of resellers, systems integrators, and OEM relationships — extends its reach into mid-market and regional customer segments at scale.</w:t>
      </w:r>
    </w:p>
    <w:p w14:paraId="04192CF6" w14:textId="54DE978F"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Channels</w:t>
      </w:r>
    </w:p>
    <w:p w14:paraId="496F7394" w14:textId="11339CF5"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Operations and sales are conducted through an optimized blend of direct enterprise engagement and a globally scaled channel ecosystem:</w:t>
      </w:r>
    </w:p>
    <w:p w14:paraId="53B1CE01"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Direct Enterprise and Government Sales:</w:t>
      </w:r>
      <w:r w:rsidRPr="008E2CBD">
        <w:rPr>
          <w:rFonts w:asciiTheme="majorBidi" w:hAnsiTheme="majorBidi" w:cstheme="majorBidi"/>
          <w:sz w:val="28"/>
          <w:szCs w:val="28"/>
        </w:rPr>
        <w:t xml:space="preserve"> Dedicated field sales and solution architect teams managing complex, multi-tower capital deals across large enterprise and public sector accounts, covering server, networking, hybrid cloud, and financial services in integrated solution packages.</w:t>
      </w:r>
    </w:p>
    <w:p w14:paraId="6738E303"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Global Channel and Partner Ecosystem:</w:t>
      </w:r>
      <w:r w:rsidRPr="008E2CBD">
        <w:rPr>
          <w:rFonts w:asciiTheme="majorBidi" w:hAnsiTheme="majorBidi" w:cstheme="majorBidi"/>
          <w:sz w:val="28"/>
          <w:szCs w:val="28"/>
        </w:rPr>
        <w:t xml:space="preserve"> A unified reseller, distributor, and systems integrator network delivering HPE product and services portfolios to mid-market and regional customers, supported by HPE's partner portal, training certification programs, and co-marketing investments.</w:t>
      </w:r>
    </w:p>
    <w:p w14:paraId="0C69E474" w14:textId="77777777" w:rsidR="008E2CBD" w:rsidRPr="008E2CBD" w:rsidRDefault="008E2CBD" w:rsidP="008E2CBD">
      <w:pPr>
        <w:pStyle w:val="font-claude-response-body"/>
        <w:numPr>
          <w:ilvl w:val="0"/>
          <w:numId w:val="26"/>
        </w:numPr>
        <w:jc w:val="both"/>
        <w:rPr>
          <w:rFonts w:asciiTheme="majorBidi" w:hAnsiTheme="majorBidi" w:cstheme="majorBidi"/>
          <w:sz w:val="28"/>
          <w:szCs w:val="28"/>
        </w:rPr>
      </w:pPr>
      <w:r w:rsidRPr="008E2CBD">
        <w:rPr>
          <w:rStyle w:val="Strong"/>
          <w:rFonts w:asciiTheme="majorBidi" w:hAnsiTheme="majorBidi" w:cstheme="majorBidi"/>
          <w:sz w:val="28"/>
          <w:szCs w:val="28"/>
        </w:rPr>
        <w:t xml:space="preserve">Digital Self-Serve and </w:t>
      </w:r>
      <w:proofErr w:type="spellStart"/>
      <w:r w:rsidRPr="008E2CBD">
        <w:rPr>
          <w:rStyle w:val="Strong"/>
          <w:rFonts w:asciiTheme="majorBidi" w:hAnsiTheme="majorBidi" w:cstheme="majorBidi"/>
          <w:sz w:val="28"/>
          <w:szCs w:val="28"/>
        </w:rPr>
        <w:t>GreenLake</w:t>
      </w:r>
      <w:proofErr w:type="spellEnd"/>
      <w:r w:rsidRPr="008E2CBD">
        <w:rPr>
          <w:rStyle w:val="Strong"/>
          <w:rFonts w:asciiTheme="majorBidi" w:hAnsiTheme="majorBidi" w:cstheme="majorBidi"/>
          <w:sz w:val="28"/>
          <w:szCs w:val="28"/>
        </w:rPr>
        <w:t xml:space="preserve"> Marketplace:</w:t>
      </w:r>
      <w:r w:rsidRPr="008E2CBD">
        <w:rPr>
          <w:rFonts w:asciiTheme="majorBidi" w:hAnsiTheme="majorBidi" w:cstheme="majorBidi"/>
          <w:sz w:val="28"/>
          <w:szCs w:val="28"/>
        </w:rPr>
        <w:t xml:space="preserve"> Cloud-based consumption portals enabling customers and partners to provision, manage, and scale HPE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services on-demand, alongside software subscription and API-based licensing for developer and IT operations buyers.</w:t>
      </w:r>
    </w:p>
    <w:p w14:paraId="2D09C0D5" w14:textId="6A3788D0"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Revenue Streams</w:t>
      </w:r>
    </w:p>
    <w:p w14:paraId="72779D49" w14:textId="7A6919A5" w:rsidR="008E2CBD" w:rsidRPr="008E2CBD" w:rsidRDefault="008E2CBD" w:rsidP="008E2CBD">
      <w:pPr>
        <w:pStyle w:val="font-claude-response-body"/>
        <w:ind w:firstLine="360"/>
        <w:jc w:val="both"/>
        <w:rPr>
          <w:rFonts w:asciiTheme="majorBidi" w:hAnsiTheme="majorBidi" w:cstheme="majorBidi"/>
          <w:sz w:val="28"/>
          <w:szCs w:val="28"/>
        </w:rPr>
      </w:pPr>
      <w:r w:rsidRPr="008E2CBD">
        <w:rPr>
          <w:rFonts w:asciiTheme="majorBidi" w:hAnsiTheme="majorBidi" w:cstheme="majorBidi"/>
          <w:sz w:val="28"/>
          <w:szCs w:val="28"/>
        </w:rPr>
        <w:t>Revenue is driven by a resilient combination of long-duration capital infrastructure contracts and a fast-growing, high-margin recurring services engine:</w:t>
      </w:r>
    </w:p>
    <w:p w14:paraId="71D9F73F"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t>Services and Software Revenue (ARR):</w:t>
      </w:r>
      <w:r w:rsidRPr="008E2CBD">
        <w:rPr>
          <w:rFonts w:asciiTheme="majorBidi" w:hAnsiTheme="majorBidi" w:cstheme="majorBidi"/>
          <w:sz w:val="28"/>
          <w:szCs w:val="28"/>
        </w:rPr>
        <w:t xml:space="preserve"> The highest-margin and fastest-growing revenue stream, generated through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subscription contracts, Juniper Mist AI software licenses, managed services engagements, and support and maintenance agreements attached to deployed infrastructure. ARR reached $3.2 billion in fiscal 2025, growing 62% year-over-year.</w:t>
      </w:r>
    </w:p>
    <w:p w14:paraId="51EF244C"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t>Products Revenue:</w:t>
      </w:r>
      <w:r w:rsidRPr="008E2CBD">
        <w:rPr>
          <w:rFonts w:asciiTheme="majorBidi" w:hAnsiTheme="majorBidi" w:cstheme="majorBidi"/>
          <w:sz w:val="28"/>
          <w:szCs w:val="28"/>
        </w:rPr>
        <w:t xml:space="preserve"> Derived from transactional hardware sales of ProLiant servers, AI Factory </w:t>
      </w:r>
      <w:proofErr w:type="gramStart"/>
      <w:r w:rsidRPr="008E2CBD">
        <w:rPr>
          <w:rFonts w:asciiTheme="majorBidi" w:hAnsiTheme="majorBidi" w:cstheme="majorBidi"/>
          <w:sz w:val="28"/>
          <w:szCs w:val="28"/>
        </w:rPr>
        <w:t>compute</w:t>
      </w:r>
      <w:proofErr w:type="gramEnd"/>
      <w:r w:rsidRPr="008E2CBD">
        <w:rPr>
          <w:rFonts w:asciiTheme="majorBidi" w:hAnsiTheme="majorBidi" w:cstheme="majorBidi"/>
          <w:sz w:val="28"/>
          <w:szCs w:val="28"/>
        </w:rPr>
        <w:t xml:space="preserve"> systems, Juniper networking equipment, and HPE </w:t>
      </w:r>
      <w:proofErr w:type="spellStart"/>
      <w:r w:rsidRPr="008E2CBD">
        <w:rPr>
          <w:rFonts w:asciiTheme="majorBidi" w:hAnsiTheme="majorBidi" w:cstheme="majorBidi"/>
          <w:sz w:val="28"/>
          <w:szCs w:val="28"/>
        </w:rPr>
        <w:t>Alletra</w:t>
      </w:r>
      <w:proofErr w:type="spellEnd"/>
      <w:r w:rsidRPr="008E2CBD">
        <w:rPr>
          <w:rFonts w:asciiTheme="majorBidi" w:hAnsiTheme="majorBidi" w:cstheme="majorBidi"/>
          <w:sz w:val="28"/>
          <w:szCs w:val="28"/>
        </w:rPr>
        <w:t xml:space="preserve"> storage platforms, representing </w:t>
      </w:r>
      <w:proofErr w:type="gramStart"/>
      <w:r w:rsidRPr="008E2CBD">
        <w:rPr>
          <w:rFonts w:asciiTheme="majorBidi" w:hAnsiTheme="majorBidi" w:cstheme="majorBidi"/>
          <w:sz w:val="28"/>
          <w:szCs w:val="28"/>
        </w:rPr>
        <w:t>the majority of</w:t>
      </w:r>
      <w:proofErr w:type="gramEnd"/>
      <w:r w:rsidRPr="008E2CBD">
        <w:rPr>
          <w:rFonts w:asciiTheme="majorBidi" w:hAnsiTheme="majorBidi" w:cstheme="majorBidi"/>
          <w:sz w:val="28"/>
          <w:szCs w:val="28"/>
        </w:rPr>
        <w:t xml:space="preserve"> total revenue at approximately $34.3 billion for fiscal year 2025 in aggregate across all segments.</w:t>
      </w:r>
    </w:p>
    <w:p w14:paraId="5E504D8D" w14:textId="77777777" w:rsidR="008E2CBD" w:rsidRPr="008E2CBD" w:rsidRDefault="008E2CBD" w:rsidP="008E2CBD">
      <w:pPr>
        <w:pStyle w:val="font-claude-response-body"/>
        <w:numPr>
          <w:ilvl w:val="0"/>
          <w:numId w:val="27"/>
        </w:numPr>
        <w:jc w:val="both"/>
        <w:rPr>
          <w:rFonts w:asciiTheme="majorBidi" w:hAnsiTheme="majorBidi" w:cstheme="majorBidi"/>
          <w:sz w:val="28"/>
          <w:szCs w:val="28"/>
        </w:rPr>
      </w:pPr>
      <w:r w:rsidRPr="008E2CBD">
        <w:rPr>
          <w:rStyle w:val="Strong"/>
          <w:rFonts w:asciiTheme="majorBidi" w:hAnsiTheme="majorBidi" w:cstheme="majorBidi"/>
          <w:sz w:val="28"/>
          <w:szCs w:val="28"/>
        </w:rPr>
        <w:lastRenderedPageBreak/>
        <w:t>Financial Services Revenue:</w:t>
      </w:r>
      <w:r w:rsidRPr="008E2CBD">
        <w:rPr>
          <w:rFonts w:asciiTheme="majorBidi" w:hAnsiTheme="majorBidi" w:cstheme="majorBidi"/>
          <w:sz w:val="28"/>
          <w:szCs w:val="28"/>
        </w:rPr>
        <w:t xml:space="preserve"> Generated through interest income and fee structures on leasing, financing, and asset management arrangements, providing a steady annuity-like income stream tied to HPE's installed infrastructure base.</w:t>
      </w:r>
    </w:p>
    <w:p w14:paraId="62C25898" w14:textId="54CD9F80" w:rsid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Key Activities and Resources</w:t>
      </w:r>
    </w:p>
    <w:p w14:paraId="4C85E4DA" w14:textId="6F8880CE" w:rsidR="008E2CBD" w:rsidRPr="008E2CBD" w:rsidRDefault="008E2CBD" w:rsidP="008E2CBD">
      <w:pPr>
        <w:pStyle w:val="font-claude-response-body"/>
        <w:ind w:firstLine="720"/>
        <w:jc w:val="both"/>
        <w:rPr>
          <w:rFonts w:asciiTheme="majorBidi" w:hAnsiTheme="majorBidi" w:cstheme="majorBidi"/>
          <w:sz w:val="28"/>
          <w:szCs w:val="28"/>
        </w:rPr>
      </w:pPr>
      <w:r w:rsidRPr="008E2CBD">
        <w:rPr>
          <w:rFonts w:asciiTheme="majorBidi" w:hAnsiTheme="majorBidi" w:cstheme="majorBidi"/>
          <w:sz w:val="28"/>
          <w:szCs w:val="28"/>
        </w:rPr>
        <w:t xml:space="preserve">Core activities include the high-cadence design, manufacturing, and global fulfillment of enterprise-grade compute and networking hardware; continuous software development and AI model training across </w:t>
      </w:r>
      <w:proofErr w:type="gramStart"/>
      <w:r w:rsidRPr="008E2CBD">
        <w:rPr>
          <w:rFonts w:asciiTheme="majorBidi" w:hAnsiTheme="majorBidi" w:cstheme="majorBidi"/>
          <w:sz w:val="28"/>
          <w:szCs w:val="28"/>
        </w:rPr>
        <w:t>the Mist</w:t>
      </w:r>
      <w:proofErr w:type="gramEnd"/>
      <w:r w:rsidRPr="008E2CBD">
        <w:rPr>
          <w:rFonts w:asciiTheme="majorBidi" w:hAnsiTheme="majorBidi" w:cstheme="majorBidi"/>
          <w:sz w:val="28"/>
          <w:szCs w:val="28"/>
        </w:rPr>
        <w:t xml:space="preserve"> AI, </w:t>
      </w:r>
      <w:proofErr w:type="spellStart"/>
      <w:r w:rsidRPr="008E2CBD">
        <w:rPr>
          <w:rFonts w:asciiTheme="majorBidi" w:hAnsiTheme="majorBidi" w:cstheme="majorBidi"/>
          <w:sz w:val="28"/>
          <w:szCs w:val="28"/>
        </w:rPr>
        <w:t>GreenLake</w:t>
      </w:r>
      <w:proofErr w:type="spellEnd"/>
      <w:r w:rsidRPr="008E2CBD">
        <w:rPr>
          <w:rFonts w:asciiTheme="majorBidi" w:hAnsiTheme="majorBidi" w:cstheme="majorBidi"/>
          <w:sz w:val="28"/>
          <w:szCs w:val="28"/>
        </w:rPr>
        <w:t xml:space="preserve">, and </w:t>
      </w:r>
      <w:proofErr w:type="spellStart"/>
      <w:r w:rsidRPr="008E2CBD">
        <w:rPr>
          <w:rFonts w:asciiTheme="majorBidi" w:hAnsiTheme="majorBidi" w:cstheme="majorBidi"/>
          <w:sz w:val="28"/>
          <w:szCs w:val="28"/>
        </w:rPr>
        <w:t>OpsRamp</w:t>
      </w:r>
      <w:proofErr w:type="spellEnd"/>
      <w:r w:rsidRPr="008E2CBD">
        <w:rPr>
          <w:rFonts w:asciiTheme="majorBidi" w:hAnsiTheme="majorBidi" w:cstheme="majorBidi"/>
          <w:sz w:val="28"/>
          <w:szCs w:val="28"/>
        </w:rPr>
        <w:t xml:space="preserve"> platforms; and intensive research and development in next-generation silicon architectures, liquid cooling systems, and edge AI infrastructure. Critical resources include a significant intellectual property portfolio spanning AI-native networking software, cloud management platforms, and server architecture; a globally distributed manufacturing and logistics network; deep relationships with strategic silicon vendors including NVIDIA, AMD, and Intel; and a large installed base of enterprise customers generating predictable lifecycle refresh and services demand.</w:t>
      </w:r>
    </w:p>
    <w:p w14:paraId="47A9604D" w14:textId="77777777" w:rsidR="008E2CBD" w:rsidRPr="008E2CBD" w:rsidRDefault="008E2CBD" w:rsidP="008E2CBD">
      <w:pPr>
        <w:pStyle w:val="font-claude-response-body"/>
        <w:jc w:val="both"/>
        <w:rPr>
          <w:rFonts w:asciiTheme="majorBidi" w:hAnsiTheme="majorBidi" w:cstheme="majorBidi"/>
          <w:sz w:val="28"/>
          <w:szCs w:val="28"/>
        </w:rPr>
      </w:pPr>
      <w:r w:rsidRPr="008E2CBD">
        <w:rPr>
          <w:rStyle w:val="Strong"/>
          <w:rFonts w:asciiTheme="majorBidi" w:hAnsiTheme="majorBidi" w:cstheme="majorBidi"/>
          <w:sz w:val="28"/>
          <w:szCs w:val="28"/>
        </w:rPr>
        <w:t>Key Partnerships and Cost Structure</w:t>
      </w:r>
    </w:p>
    <w:p w14:paraId="205429C1" w14:textId="1771EA45" w:rsidR="008D2571" w:rsidRPr="008E2CBD" w:rsidRDefault="008E2CBD" w:rsidP="008E2CBD">
      <w:pPr>
        <w:pStyle w:val="font-claude-response-body"/>
        <w:jc w:val="both"/>
        <w:rPr>
          <w:rFonts w:asciiTheme="majorBidi" w:hAnsiTheme="majorBidi" w:cstheme="majorBidi"/>
          <w:sz w:val="28"/>
          <w:szCs w:val="28"/>
        </w:rPr>
      </w:pPr>
      <w:r w:rsidRPr="008E2CBD">
        <w:rPr>
          <w:rFonts w:asciiTheme="majorBidi" w:hAnsiTheme="majorBidi" w:cstheme="majorBidi"/>
          <w:sz w:val="28"/>
          <w:szCs w:val="28"/>
        </w:rPr>
        <w:t>Strategic partnerships include deep co-engineering alliances with NVIDIA for AI compute integration; silicon supply relationships with AMD and Intel across server platforms; open-source collaboration with the broader cloud-native and developer ecosystem; and mobile network operator integrations extending Juniper's network management reach into service provider infrastructure. The cost structure is primarily driven by component procurement costs for memory, storage, and silicon in server and networking hardware; research and development investment in AI-native software platforms and next-generation compute architectures; integration and restructuring costs associated with the Juniper Networks acquisition and the Catalyst efficiency program; and personnel scaling across elite engineering, software development, and global field sales workforces.</w:t>
      </w:r>
      <w:permEnd w:id="254031251"/>
    </w:p>
    <w:p w14:paraId="1EC0068D" w14:textId="77777777" w:rsidR="00105ADD" w:rsidRPr="0016345D" w:rsidRDefault="00105ADD" w:rsidP="008E2CBD">
      <w:pPr>
        <w:spacing w:before="240" w:after="0"/>
        <w:jc w:val="both"/>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1840A3AD" w:rsidR="00222249" w:rsidRPr="001457EB" w:rsidRDefault="008E2CBD" w:rsidP="008E64CF">
      <w:pPr>
        <w:spacing w:after="0"/>
        <w:ind w:right="52"/>
        <w:rPr>
          <w:rFonts w:asciiTheme="majorBidi" w:hAnsiTheme="majorBidi" w:cstheme="majorBidi"/>
          <w:sz w:val="28"/>
        </w:rPr>
      </w:pPr>
      <w:permStart w:id="538801036" w:edGrp="everyone"/>
      <w:r w:rsidRPr="008E2CBD">
        <w:rPr>
          <w:rFonts w:asciiTheme="majorBidi" w:hAnsiTheme="majorBidi" w:cstheme="majorBidi"/>
          <w:sz w:val="28"/>
        </w:rPr>
        <w:t>https://investors.hpe.com/financial/sec-filings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https://www.hpe.com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https://investors.hpe.com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https://investors.hpe.com/news-and-events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นิวยอร์ก (NYSE)</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https://www.nyse.com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BD1D" w14:textId="77777777" w:rsidR="006D62F9" w:rsidRDefault="006D62F9" w:rsidP="00105AC2">
      <w:pPr>
        <w:spacing w:after="0" w:line="240" w:lineRule="auto"/>
      </w:pPr>
      <w:r>
        <w:separator/>
      </w:r>
    </w:p>
  </w:endnote>
  <w:endnote w:type="continuationSeparator" w:id="0">
    <w:p w14:paraId="79FCC274" w14:textId="77777777" w:rsidR="006D62F9" w:rsidRDefault="006D62F9" w:rsidP="00105AC2">
      <w:pPr>
        <w:spacing w:after="0" w:line="240" w:lineRule="auto"/>
      </w:pPr>
      <w:r>
        <w:continuationSeparator/>
      </w:r>
    </w:p>
  </w:endnote>
  <w:endnote w:type="continuationNotice" w:id="1">
    <w:p w14:paraId="166CA42B" w14:textId="77777777" w:rsidR="006D62F9" w:rsidRDefault="006D62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E6191" w14:textId="77777777" w:rsidR="006D62F9" w:rsidRDefault="006D62F9" w:rsidP="00105AC2">
      <w:pPr>
        <w:spacing w:after="0" w:line="240" w:lineRule="auto"/>
      </w:pPr>
      <w:r>
        <w:separator/>
      </w:r>
    </w:p>
  </w:footnote>
  <w:footnote w:type="continuationSeparator" w:id="0">
    <w:p w14:paraId="781B52B9" w14:textId="77777777" w:rsidR="006D62F9" w:rsidRDefault="006D62F9" w:rsidP="00105AC2">
      <w:pPr>
        <w:spacing w:after="0" w:line="240" w:lineRule="auto"/>
      </w:pPr>
      <w:r>
        <w:continuationSeparator/>
      </w:r>
    </w:p>
  </w:footnote>
  <w:footnote w:type="continuationNotice" w:id="1">
    <w:p w14:paraId="292A9E09" w14:textId="77777777" w:rsidR="006D62F9" w:rsidRDefault="006D62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D176EE1"/>
    <w:multiLevelType w:val="multilevel"/>
    <w:tmpl w:val="E062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8D6778"/>
    <w:multiLevelType w:val="multilevel"/>
    <w:tmpl w:val="84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0E07A7"/>
    <w:multiLevelType w:val="multilevel"/>
    <w:tmpl w:val="9FD2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11D3295"/>
    <w:multiLevelType w:val="multilevel"/>
    <w:tmpl w:val="513A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5" w15:restartNumberingAfterBreak="0">
    <w:nsid w:val="7A6E1A44"/>
    <w:multiLevelType w:val="multilevel"/>
    <w:tmpl w:val="94A0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700549188">
    <w:abstractNumId w:val="14"/>
  </w:num>
  <w:num w:numId="2" w16cid:durableId="1411274686">
    <w:abstractNumId w:val="18"/>
  </w:num>
  <w:num w:numId="3" w16cid:durableId="127359030">
    <w:abstractNumId w:val="13"/>
  </w:num>
  <w:num w:numId="4" w16cid:durableId="760876366">
    <w:abstractNumId w:val="2"/>
  </w:num>
  <w:num w:numId="5" w16cid:durableId="454258719">
    <w:abstractNumId w:val="10"/>
  </w:num>
  <w:num w:numId="6" w16cid:durableId="804004989">
    <w:abstractNumId w:val="22"/>
  </w:num>
  <w:num w:numId="7" w16cid:durableId="662319591">
    <w:abstractNumId w:val="4"/>
  </w:num>
  <w:num w:numId="8" w16cid:durableId="616911712">
    <w:abstractNumId w:val="24"/>
  </w:num>
  <w:num w:numId="9" w16cid:durableId="1363751265">
    <w:abstractNumId w:val="5"/>
  </w:num>
  <w:num w:numId="10" w16cid:durableId="908227624">
    <w:abstractNumId w:val="9"/>
  </w:num>
  <w:num w:numId="11" w16cid:durableId="1054541982">
    <w:abstractNumId w:val="3"/>
  </w:num>
  <w:num w:numId="12" w16cid:durableId="1367409266">
    <w:abstractNumId w:val="16"/>
  </w:num>
  <w:num w:numId="13" w16cid:durableId="38632624">
    <w:abstractNumId w:val="20"/>
  </w:num>
  <w:num w:numId="14" w16cid:durableId="463037621">
    <w:abstractNumId w:val="1"/>
  </w:num>
  <w:num w:numId="15" w16cid:durableId="190801104">
    <w:abstractNumId w:val="0"/>
  </w:num>
  <w:num w:numId="16" w16cid:durableId="343870604">
    <w:abstractNumId w:val="8"/>
  </w:num>
  <w:num w:numId="17" w16cid:durableId="1942370111">
    <w:abstractNumId w:val="11"/>
  </w:num>
  <w:num w:numId="18" w16cid:durableId="742872461">
    <w:abstractNumId w:val="7"/>
  </w:num>
  <w:num w:numId="19" w16cid:durableId="1404571869">
    <w:abstractNumId w:val="21"/>
  </w:num>
  <w:num w:numId="20" w16cid:durableId="1923174818">
    <w:abstractNumId w:val="12"/>
  </w:num>
  <w:num w:numId="21" w16cid:durableId="1942687164">
    <w:abstractNumId w:val="19"/>
  </w:num>
  <w:num w:numId="22" w16cid:durableId="114254800">
    <w:abstractNumId w:val="26"/>
  </w:num>
  <w:num w:numId="23" w16cid:durableId="705984943">
    <w:abstractNumId w:val="15"/>
  </w:num>
  <w:num w:numId="24" w16cid:durableId="32852916">
    <w:abstractNumId w:val="23"/>
  </w:num>
  <w:num w:numId="25" w16cid:durableId="968821838">
    <w:abstractNumId w:val="25"/>
  </w:num>
  <w:num w:numId="26" w16cid:durableId="2114323252">
    <w:abstractNumId w:val="17"/>
  </w:num>
  <w:num w:numId="27" w16cid:durableId="163906636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OWU3ZmU3N2UtM2ZmZi00M2ZhLTliZjYtNDdhYjVjMGM5YTNkXCIsXCI0Njk1ODM0My1k"/>
    <w:docVar w:name="GVData0" w:val="OGIzLTQ1NDgtYjY1Zi02OTBlZmIxMGQyMDZcIixcIjM1ZDQ1ZWE1LTc1NWEtNGVkMC1hN2EwLTlmNDM4YzJhZGM4ZFwiLFwiNTE3NmYzN2QtYTE2Yy00ODY3LWE4MmUtMjgxZmVjNzBlM2JlXCIsXCI4OWRjOTM3ZC0zYWQxLTQxNmYtODc0YS1kZGQ1OWIwOWFlZDBc"/>
    <w:docVar w:name="GVData1" w:val="IixcIjczNTRjYTZjLTQ1ZGMtNDc5MC1hNzI0LTEwMzkxM2M0MWM1MFwiLFwiYmMxMmMwZDctY2EzNi00NGM1LWE0ZjUtOTcyNGIxZWEwOWExXCIsXCIyNGFhMTAwNi1lZjA1LTRmY2QtOGE1Zi0zYWRkYzQ4NTg0NGRcIixcIjNjNDIxMDcwLWYyNTItNDVlOS04OTUy"/>
    <w:docVar w:name="GVData2" w:val="LTY2OGM3N2Q5ZWVkYlwiLFwiNjRkMDMwOWUtODNiMS00YzQzLTliNWEtMjU2YWE3ZWRjNWMzXCJdIiwid3JpdHRlbktleXMiOiJbXCJndmRvY2lkXCIsXCJDbGFzc2lmaWNhdGlvblwiLFwiQ3VzdG9tZXJOYW1lXCIsXCJGaWxlSWRcIixcIlVzZXJJZFwiLFwiVGFn"/>
    <w:docVar w:name="GVData3" w:val="RGF0ZVRpbWVcIixcIktUQlwiLFwiQ2xhc3NpZmljYXRpb25HdWlkXCJdIiwibm9PZkd2RGF0YUVudHJpZXMiOiI3IiwibGluZUlkIjoiZTQyNzM5NjEtYTJjMS00ZDNiLTkzNWItNGQ0YmNhMTc5MDk3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22T06:23:52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1F14"/>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333"/>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2F9"/>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1EFD"/>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1BBD"/>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2C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C62"/>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1FC0"/>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48EC"/>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8E2CBD"/>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8E2C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24</TotalTime>
  <Pages>15</Pages>
  <Words>6862</Words>
  <Characters>36083</Characters>
  <Application>Microsoft Office Word</Application>
  <DocSecurity>8</DocSecurity>
  <Lines>461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38287</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13</cp:revision>
  <cp:lastPrinted>2026-06-22T06:22:00Z</cp:lastPrinted>
  <dcterms:created xsi:type="dcterms:W3CDTF">2026-04-27T09:24:00Z</dcterms:created>
  <dcterms:modified xsi:type="dcterms:W3CDTF">2026-06-22T06:23:00Z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2569-06-22T06:23:52Z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eyJPUyI6IldpbmRvd3MiLCJkb2NJRCI6IjZlMjc0YWIzLTcyZDEtNGFjYi1hNzc5LWFlNzBlZWFhOGI0ZiIsImRvY1N0YXRlIjoie30iLCJwYXJlbnRMaW5lSWRzIjoiW1wiOWU3ZmU3N2UtM2ZmZi00M2ZhLTliZjYtNDdhYjVjMGM5YTNkXCIsXCI0Njk1ODM0My1k</vt:lpwstr>
  </property>
  <property fmtid="{D5CDD505-2E9C-101B-9397-08002B2CF9AE}" pid="9" name="GVData0">
    <vt:lpwstr>OGIzLTQ1NDgtYjY1Zi02OTBlZmIxMGQyMDZcIixcIjM1ZDQ1ZWE1LTc1NWEtNGVkMC1hN2EwLTlmNDM4YzJhZGM4ZFwiLFwiNTE3NmYzN2QtYTE2Yy00ODY3LWE4MmUtMjgxZmVjNzBlM2JlXCIsXCI4OWRjOTM3ZC0zYWQxLTQxNmYtODc0YS1kZGQ1OWIwOWFlZDBc</vt:lpwstr>
  </property>
  <property fmtid="{D5CDD505-2E9C-101B-9397-08002B2CF9AE}" pid="10" name="GVData1">
    <vt:lpwstr>IixcIjczNTRjYTZjLTQ1ZGMtNDc5MC1hNzI0LTEwMzkxM2M0MWM1MFwiLFwiYmMxMmMwZDctY2EzNi00NGM1LWE0ZjUtOTcyNGIxZWEwOWExXCIsXCIyNGFhMTAwNi1lZjA1LTRmY2QtOGE1Zi0zYWRkYzQ4NTg0NGRcIixcIjNjNDIxMDcwLWYyNTItNDVlOS04OTUy</vt:lpwstr>
  </property>
  <property fmtid="{D5CDD505-2E9C-101B-9397-08002B2CF9AE}" pid="11" name="GVData2">
    <vt:lpwstr>LTY2OGM3N2Q5ZWVkYlwiLFwiNjRkMDMwOWUtODNiMS00YzQzLTliNWEtMjU2YWE3ZWRjNWMzXCJdIiwid3JpdHRlbktleXMiOiJbXCJndmRvY2lkXCIsXCJDbGFzc2lmaWNhdGlvblwiLFwiQ3VzdG9tZXJOYW1lXCIsXCJGaWxlSWRcIixcIlVzZXJJZFwiLFwiVGFn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RGF0ZVRpbWVcIixcIktUQlwiLFwiQ2xhc3NpZmljYXRpb25HdWlkXCJdIiwibm9PZkd2RGF0YUVudHJpZXMiOiI3IiwibGluZUlkIjoiZTQyNzM5NjEtYTJjMS00ZDNiLTkzNWItNGQ0YmNhMTc5MDk3IiwidGFnc2V0X2UxNjQwOWE3XzE3MDBfNDE1M185MDkwXzM5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