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TOWER SEMICONDUCTOR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TOWER SEMICONDUCTOR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 ("TSEM")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4AFA9325"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TSEM</w:t>
            </w:r>
            <w:r w:rsidR="007519CE">
              <w:rPr>
                <w:rFonts w:asciiTheme="majorBidi" w:hAnsiTheme="majorBidi" w:cs="Angsana New"/>
                <w:noProof/>
                <w:sz w:val="28"/>
              </w:rPr>
              <w:t>I</w:t>
            </w:r>
            <w:r w:rsidR="00A27AC1">
              <w:rPr>
                <w:rFonts w:asciiTheme="majorBidi" w:hAnsiTheme="majorBidi" w:cs="Angsana New"/>
                <w:noProof/>
                <w:sz w:val="28"/>
              </w:rPr>
              <w:t>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234379E9"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415C90">
        <w:rPr>
          <w:rFonts w:asciiTheme="majorBidi" w:hAnsiTheme="majorBidi" w:cs="Angsana New"/>
          <w:b/>
          <w:bCs/>
          <w:noProof/>
          <w:sz w:val="28"/>
        </w:rPr>
        <w:t>2,5</w:t>
      </w:r>
      <w:r w:rsidR="00A27AC1">
        <w:rPr>
          <w:rFonts w:asciiTheme="majorBidi" w:hAnsiTheme="majorBidi" w:cs="Angsana New"/>
          <w:b/>
          <w:bCs/>
          <w:noProof/>
          <w:sz w:val="28"/>
        </w:rPr>
        <w:t>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3FD21F28"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7262B">
        <w:rPr>
          <w:rFonts w:ascii="Angsana New" w:eastAsia="Times New Roman" w:hAnsi="Angsana New" w:cs="Angsana New" w:hint="cs"/>
          <w:sz w:val="28"/>
          <w:cs/>
        </w:rPr>
        <w:t xml:space="preserve">ไม่เกิน </w:t>
      </w:r>
      <w:r w:rsidR="0037262B">
        <w:rPr>
          <w:rFonts w:ascii="Angsana New" w:eastAsia="Times New Roman" w:hAnsi="Angsana New" w:cs="Angsana New"/>
          <w:sz w:val="28"/>
        </w:rPr>
        <w:t xml:space="preserve">3,400 </w:t>
      </w:r>
      <w:r w:rsidR="0037262B">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TOWER SEMICONDUCTOR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20 Shaul Amor Avenue, Ramat Gavriel Industrial Park</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Migdal Haemek, Israel, 2310502</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+972-4-6506611</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+972-4-6546510</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https://towersemi.com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https://www.nasdaq.com/market-activity/stocks/tsem</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9304AB5"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Overview</w:t>
      </w:r>
    </w:p>
    <w:p w14:paraId="3CAEC737"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Tower Semiconductor is the leading pure-play foundry of high-value analog semiconductor solutions, providing specialized technology and manufacturing platforms for integrated circuits serving a broad range of end markets including consumer, industrial, automotive, mobile, infrastructure, medical, and aerospace and defense. Founded with a mission to accelerate its customers' innovation through differentiated analog process technologies, the company operates as a precision-engineered partner rather than a generalized volume manufacturer, deliberately targeting mission-critical, high-complexity process nodes where customization depth and manufacturing expertise deliver structurally defensible competitive advantages over larger commodity foundries. The company focuses on creating long-term, deeply collaborative customer partnerships built around its proprietary analog, mixed-signal, and specialty technology platforms.</w:t>
      </w:r>
    </w:p>
    <w:p w14:paraId="181D4B12"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Principal Business Operations</w:t>
      </w:r>
    </w:p>
    <w:p w14:paraId="36D5ACF5"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operations are centered on a comprehensive, vertically integrated analog foundry ecosystem across three core technology pillars:</w:t>
      </w:r>
    </w:p>
    <w:p w14:paraId="3E590E6B"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RF and High-Performance Analog (HPA) Segment:</w:t>
      </w:r>
      <w:r w:rsidRPr="00B3562F">
        <w:rPr>
          <w:rFonts w:asciiTheme="majorBidi" w:hAnsiTheme="majorBidi" w:cstheme="majorBidi"/>
          <w:sz w:val="28"/>
          <w:szCs w:val="28"/>
        </w:rPr>
        <w:t xml:space="preserve"> Encompasses Silicon Germanium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and RF CMOS process platforms optimized for high-frequency, low-noise amplification and signal processing applications. These platforms serve wireless infrastructure, mobile handset front-end modules, and data center optical transceiver markets, where the company holds a leading market position in SiGe-based electro-optical integration for next-generation 400G and 800G optical interconnects.</w:t>
      </w:r>
    </w:p>
    <w:p w14:paraId="798AE96C"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Power and Sensing Segment:</w:t>
      </w:r>
      <w:r w:rsidRPr="00B3562F">
        <w:rPr>
          <w:rFonts w:asciiTheme="majorBidi" w:hAnsiTheme="majorBidi" w:cstheme="majorBidi"/>
          <w:sz w:val="28"/>
          <w:szCs w:val="28"/>
        </w:rPr>
        <w:t xml:space="preserve"> Centered on advanced integrated power management platforms (BCD and 700V), CMOS image sensors, non-imaging sensors, displays, and micro-electro-mechanical systems (MEMS). This segment delivers enabling technologies for automotive power electronics, industrial sensing, machine vision, and consumer imaging applications, with power management demonstrating particularly accelerated growth driven by electric vehicle and AI compute power delivery demand.</w:t>
      </w:r>
    </w:p>
    <w:p w14:paraId="6129CA2B"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Silicon Photonics (</w:t>
      </w:r>
      <w:proofErr w:type="spellStart"/>
      <w:r w:rsidRPr="00B3562F">
        <w:rPr>
          <w:rStyle w:val="Strong"/>
          <w:rFonts w:asciiTheme="majorBidi" w:hAnsiTheme="majorBidi" w:cstheme="majorBidi"/>
          <w:sz w:val="28"/>
          <w:szCs w:val="28"/>
        </w:rPr>
        <w:t>SiPho</w:t>
      </w:r>
      <w:proofErr w:type="spellEnd"/>
      <w:r w:rsidRPr="00B3562F">
        <w:rPr>
          <w:rStyle w:val="Strong"/>
          <w:rFonts w:asciiTheme="majorBidi" w:hAnsiTheme="majorBidi" w:cstheme="majorBidi"/>
          <w:sz w:val="28"/>
          <w:szCs w:val="28"/>
        </w:rPr>
        <w:t>) Segment:</w:t>
      </w:r>
      <w:r w:rsidRPr="00B3562F">
        <w:rPr>
          <w:rFonts w:asciiTheme="majorBidi" w:hAnsiTheme="majorBidi" w:cstheme="majorBidi"/>
          <w:sz w:val="28"/>
          <w:szCs w:val="28"/>
        </w:rPr>
        <w:t xml:space="preserve"> Driven by an industry-leading, open-access silicon photonics foundry platform operated across both 200mm and 300mm wafer fabs, targeting high-speed optical data transmission in the data center interconnect market. This operation supports next-generation co-packaged optics (CPO) architectures and heterogeneous 3D-IC integration through advanced wafer bonding technology combining photonic ICs (PICs) and electronic ICs (EICs) into compact, high-performance stacked systems.</w:t>
      </w:r>
    </w:p>
    <w:p w14:paraId="1B3DD03B"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Supply Chain and Infrastructure</w:t>
      </w:r>
    </w:p>
    <w:p w14:paraId="2D6A1D89"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The company operates a globally distributed, multi-fab manufacturing infrastructure designed to provide customers with redundant sourcing options and geographically diversified production capacity. Fabrication facilities include one 200mm fab in Israel, two 200mm fabs in the United States, and two facilities in Japan (200mm and 300mm) through its majority-owned </w:t>
      </w:r>
      <w:proofErr w:type="spellStart"/>
      <w:r w:rsidRPr="00B3562F">
        <w:rPr>
          <w:rFonts w:asciiTheme="majorBidi" w:hAnsiTheme="majorBidi" w:cstheme="majorBidi"/>
          <w:sz w:val="28"/>
          <w:szCs w:val="28"/>
        </w:rPr>
        <w:t>TPSCo</w:t>
      </w:r>
      <w:proofErr w:type="spellEnd"/>
      <w:r w:rsidRPr="00B3562F">
        <w:rPr>
          <w:rFonts w:asciiTheme="majorBidi" w:hAnsiTheme="majorBidi" w:cstheme="majorBidi"/>
          <w:sz w:val="28"/>
          <w:szCs w:val="28"/>
        </w:rPr>
        <w:t xml:space="preserve"> joint venture. Additionally, the company operates a 300mm fab in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Italy in partnership with STMicroelectronics, and maintains access to a 300mm capacity corridor within Intel's New Mexico facility. This multi-geography, multi-node infrastructure model eliminates single-point-of-failure supply risk and enables customers to qualify processes across multiple production sites. The company further complements its physical manufacturing network with world-class design enablement tooling, process design kits (PDKs), and field application engineering resources to accelerate customer tape-out velocity and reduce design cycle iterations.</w:t>
      </w:r>
    </w:p>
    <w:p w14:paraId="5AFBC9CA"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Strategy and Future Prospects</w:t>
      </w:r>
    </w:p>
    <w:p w14:paraId="08792CFE"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strategy is built on deepening process differentiation in structurally high-growth analog niches while methodically scaling capacity into the next cycle of demand. Key strategic pillars include:</w:t>
      </w:r>
    </w:p>
    <w:p w14:paraId="2BBFC140"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Silicon Photonics and Data Center Expansion:</w:t>
      </w:r>
      <w:r w:rsidRPr="00B3562F">
        <w:rPr>
          <w:rFonts w:asciiTheme="majorBidi" w:hAnsiTheme="majorBidi" w:cstheme="majorBidi"/>
          <w:sz w:val="28"/>
          <w:szCs w:val="28"/>
        </w:rPr>
        <w:t xml:space="preserve"> Scaling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platform capacity and capabilities to capture accelerating demand from hyperscale data center operators building out high-speed optical interconnect infrastructure for AI training and inference clusters, where optical transceiver bandwidth requirements are compounding rapidly.</w:t>
      </w:r>
    </w:p>
    <w:p w14:paraId="766577D5"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Power Management Technology Leadership:</w:t>
      </w:r>
      <w:r w:rsidRPr="00B3562F">
        <w:rPr>
          <w:rFonts w:asciiTheme="majorBidi" w:hAnsiTheme="majorBidi" w:cstheme="majorBidi"/>
          <w:sz w:val="28"/>
          <w:szCs w:val="28"/>
        </w:rPr>
        <w:t xml:space="preserve"> Expanding 300mm-based advanced power management process capabilities, particularly envelope trackers and high-density BCD platforms, to gain share in AI server power delivery, automotive electrification, and next-generation mobile device power architectures.</w:t>
      </w:r>
    </w:p>
    <w:p w14:paraId="2DB32070"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300mm Conversion and Capacity Ramp:</w:t>
      </w:r>
      <w:r w:rsidRPr="00B3562F">
        <w:rPr>
          <w:rFonts w:asciiTheme="majorBidi" w:hAnsiTheme="majorBidi" w:cstheme="majorBidi"/>
          <w:sz w:val="28"/>
          <w:szCs w:val="28"/>
        </w:rPr>
        <w:t xml:space="preserve"> Systematically repurposing and upgrading existing 200mm infrastructure to 300mm-compatible node workflows, driving unit cost reductions and improving margin leverage as the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xml:space="preserve"> 300mm facility ramps toward full operational utilization.</w:t>
      </w:r>
    </w:p>
    <w:p w14:paraId="4BF03E7B"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Heterogeneous 3D-IC Integration:</w:t>
      </w:r>
      <w:r w:rsidRPr="00B3562F">
        <w:rPr>
          <w:rFonts w:asciiTheme="majorBidi" w:hAnsiTheme="majorBidi" w:cstheme="majorBidi"/>
          <w:sz w:val="28"/>
          <w:szCs w:val="28"/>
        </w:rPr>
        <w:t xml:space="preserve"> Extending its mature wafer bonding technology beyond image sensors into data center and optical computing applications, enabling customers to co-integrate photonic and electronic chiplets within a single stacked die for superior bandwidth density and power efficiency.</w:t>
      </w:r>
    </w:p>
    <w:p w14:paraId="5A99CDB2"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Value Propositions</w:t>
      </w:r>
    </w:p>
    <w:p w14:paraId="59751DC6"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The company aligns its value around enabling the realization of highly complex, mixed-signal, and analog-intensive chip architectures that mainstream digital foundries are structurally unable or commercially unwilling to serve. For fabless semiconductor companies, it delivers a combination of proprietary customizable process platforms, deep co-development engineering support, and rapid multi-project wafer (MPW) prototyping programs that meaningfully accelerate time-to-market. For Integrated Device Manufacturers (IDMs), it provides qualified process transfer services and flexible overflow capacity with full IP protection. For data center and optical networking customers, its open-access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platforms provide the only production-proven heterogeneous integration route capable of meeting the bandwidth and power density demands of next-generation AI infrastructure at volume.</w:t>
      </w:r>
    </w:p>
    <w:p w14:paraId="7D041549"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Customer Segments</w:t>
      </w:r>
    </w:p>
    <w:p w14:paraId="20B181FD"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company serves a concentrated, technically sophisticated base of global semiconductor and systems companies:</w:t>
      </w:r>
    </w:p>
    <w:p w14:paraId="54D4931C"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Fabless Semiconductor Companies:</w:t>
      </w:r>
      <w:r w:rsidRPr="00B3562F">
        <w:rPr>
          <w:rFonts w:asciiTheme="majorBidi" w:hAnsiTheme="majorBidi" w:cstheme="majorBidi"/>
          <w:sz w:val="28"/>
          <w:szCs w:val="28"/>
        </w:rPr>
        <w:t xml:space="preserve"> The largest customer cohort, constituting an estimated majority of total revenues, comprising designers of RF front-end modules, power management ICs, image sensors, optical transceivers, and industrial sensing chips requiring differentiated foundry process access unavailable at larger commodity fabs.</w:t>
      </w:r>
    </w:p>
    <w:p w14:paraId="7A1C8EF5"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Integrated Device Manufacturers (IDMs):</w:t>
      </w:r>
      <w:r w:rsidRPr="00B3562F">
        <w:rPr>
          <w:rFonts w:asciiTheme="majorBidi" w:hAnsiTheme="majorBidi" w:cstheme="majorBidi"/>
          <w:sz w:val="28"/>
          <w:szCs w:val="28"/>
        </w:rPr>
        <w:t xml:space="preserve"> Established semiconductor companies such as STMicroelectronics and others that outsource portions of production requiring specialty nodes outside their internal manufacturing roadmaps or that seek flexible geographic capacity diversification.</w:t>
      </w:r>
    </w:p>
    <w:p w14:paraId="34A53B86"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Automotive and Industrial OEM Supply Chains:</w:t>
      </w:r>
      <w:r w:rsidRPr="00B3562F">
        <w:rPr>
          <w:rFonts w:asciiTheme="majorBidi" w:hAnsiTheme="majorBidi" w:cstheme="majorBidi"/>
          <w:sz w:val="28"/>
          <w:szCs w:val="28"/>
        </w:rPr>
        <w:t xml:space="preserve"> Tier-1 automotive suppliers and industrial equipment manufacturers requiring highly reliable, long-lifecycle analog and power process technologies certified to automotive-grade quality standards.</w:t>
      </w:r>
    </w:p>
    <w:p w14:paraId="41E95A86"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Hyperscale and Data Center Infrastructure Operators:</w:t>
      </w:r>
      <w:r w:rsidRPr="00B3562F">
        <w:rPr>
          <w:rFonts w:asciiTheme="majorBidi" w:hAnsiTheme="majorBidi" w:cstheme="majorBidi"/>
          <w:sz w:val="28"/>
          <w:szCs w:val="28"/>
        </w:rPr>
        <w:t xml:space="preserve"> Companies building AI compute and optical networking infrastructure requiring leading-edge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foundry access for optical transceiver and co-packaged optics production at scale.</w:t>
      </w:r>
    </w:p>
    <w:p w14:paraId="30428E2A"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Customer Relationships</w:t>
      </w:r>
    </w:p>
    <w:p w14:paraId="04549FAD"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Trust is established through long-term, engineering-led partnerships characterized by joint process co-development, shared technology roadmap alignment, and multi-year supply agreements that create high structural switching costs and deep mutual commitment. Key accounts receive dedicated program managers, field application engineering teams, and technical leads who coordinate recurring business reviews to align capacity planning, quality benchmarks, and technology qualification schedules. The company further builds ecosystem affinity through its open-access MPW shuttle programs, which provide low-cost, rapid prototyping runs that allow emerging fabless companies to develop and validate designs on Tower's process platforms years before committing to volume production.</w:t>
      </w:r>
    </w:p>
    <w:p w14:paraId="3D7E6F16"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Channels</w:t>
      </w:r>
    </w:p>
    <w:p w14:paraId="36788485"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Operations and sales are conducted through a technically specialized, relationship-driven commercial model:</w:t>
      </w:r>
    </w:p>
    <w:p w14:paraId="4880C0E0"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Direct Enterprise Sales and Account Management:</w:t>
      </w:r>
      <w:r w:rsidRPr="00B3562F">
        <w:rPr>
          <w:rFonts w:asciiTheme="majorBidi" w:hAnsiTheme="majorBidi" w:cstheme="majorBidi"/>
          <w:sz w:val="28"/>
          <w:szCs w:val="28"/>
        </w:rPr>
        <w:t xml:space="preserve"> Specialized named-account teams covering global </w:t>
      </w:r>
      <w:proofErr w:type="gramStart"/>
      <w:r w:rsidRPr="00B3562F">
        <w:rPr>
          <w:rFonts w:asciiTheme="majorBidi" w:hAnsiTheme="majorBidi" w:cstheme="majorBidi"/>
          <w:sz w:val="28"/>
          <w:szCs w:val="28"/>
        </w:rPr>
        <w:t>fabless</w:t>
      </w:r>
      <w:proofErr w:type="gramEnd"/>
      <w:r w:rsidRPr="00B3562F">
        <w:rPr>
          <w:rFonts w:asciiTheme="majorBidi" w:hAnsiTheme="majorBidi" w:cstheme="majorBidi"/>
          <w:sz w:val="28"/>
          <w:szCs w:val="28"/>
        </w:rPr>
        <w:t xml:space="preserve"> and IDM customers through dedicated long-cycle commercial negotiations, capacity reservation agreements, and technology licensing discussions.</w:t>
      </w:r>
    </w:p>
    <w:p w14:paraId="0E74340F"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Field Application Engineering (FAE) and Design Enablement:</w:t>
      </w:r>
      <w:r w:rsidRPr="00B3562F">
        <w:rPr>
          <w:rFonts w:asciiTheme="majorBidi" w:hAnsiTheme="majorBidi" w:cstheme="majorBidi"/>
          <w:sz w:val="28"/>
          <w:szCs w:val="28"/>
        </w:rPr>
        <w:t xml:space="preserve"> Embedded technical resources co-located with key customer design centers globally, providing process design kit (PDK) access, design-for-manufacturability (DFM) guidance, and tape-out support to accelerate customer design velocity.</w:t>
      </w:r>
    </w:p>
    <w:p w14:paraId="1AFDDF65"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Industry Conference and Ecosystem Platforms:</w:t>
      </w:r>
      <w:r w:rsidRPr="00B3562F">
        <w:rPr>
          <w:rFonts w:asciiTheme="majorBidi" w:hAnsiTheme="majorBidi" w:cstheme="majorBidi"/>
          <w:sz w:val="28"/>
          <w:szCs w:val="28"/>
        </w:rPr>
        <w:t xml:space="preserve"> Strategic engagement through semiconductor design conferences, standards bodies, and open ecosystem partnerships with EDA vendors like Cadence to generate technology awareness, attract emerging fabless customers, and co-develop integration standards.</w:t>
      </w:r>
    </w:p>
    <w:p w14:paraId="186FE529"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Revenue Streams</w:t>
      </w:r>
    </w:p>
    <w:p w14:paraId="17B7039B"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Revenue is driven by a wafer fabrication-centric model combining multi-year contractual capacity arrangements with transactional engineering services:</w:t>
      </w:r>
    </w:p>
    <w:p w14:paraId="6311FD24"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Wafer Fabrication Revenue:</w:t>
      </w:r>
      <w:r w:rsidRPr="00B3562F">
        <w:rPr>
          <w:rFonts w:asciiTheme="majorBidi" w:hAnsiTheme="majorBidi" w:cstheme="majorBidi"/>
          <w:sz w:val="28"/>
          <w:szCs w:val="28"/>
        </w:rPr>
        <w:t xml:space="preserve"> The dominant revenue source, generated through per-wafer manufacturing fees charged to fabless customers and IDMs for production </w:t>
      </w:r>
      <w:proofErr w:type="gramStart"/>
      <w:r w:rsidRPr="00B3562F">
        <w:rPr>
          <w:rFonts w:asciiTheme="majorBidi" w:hAnsiTheme="majorBidi" w:cstheme="majorBidi"/>
          <w:sz w:val="28"/>
          <w:szCs w:val="28"/>
        </w:rPr>
        <w:t>wafers</w:t>
      </w:r>
      <w:proofErr w:type="gramEnd"/>
      <w:r w:rsidRPr="00B3562F">
        <w:rPr>
          <w:rFonts w:asciiTheme="majorBidi" w:hAnsiTheme="majorBidi" w:cstheme="majorBidi"/>
          <w:sz w:val="28"/>
          <w:szCs w:val="28"/>
        </w:rPr>
        <w:t xml:space="preserve"> processed across its global fab network, with pricing reflecting process complexity, node technology, and volume commitments.</w:t>
      </w:r>
    </w:p>
    <w:p w14:paraId="442931E2"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Non-Recurring Engineering (NRE) and Process Transfer Services:</w:t>
      </w:r>
      <w:r w:rsidRPr="00B3562F">
        <w:rPr>
          <w:rFonts w:asciiTheme="majorBidi" w:hAnsiTheme="majorBidi" w:cstheme="majorBidi"/>
          <w:sz w:val="28"/>
          <w:szCs w:val="28"/>
        </w:rPr>
        <w:t xml:space="preserve"> Project-based fees earned through process co-development engagements, technology transfer and qualification programs, and customized platform adaptation work </w:t>
      </w:r>
      <w:r w:rsidRPr="00B3562F">
        <w:rPr>
          <w:rFonts w:asciiTheme="majorBidi" w:hAnsiTheme="majorBidi" w:cstheme="majorBidi"/>
          <w:sz w:val="28"/>
          <w:szCs w:val="28"/>
        </w:rPr>
        <w:lastRenderedPageBreak/>
        <w:t>performed on behalf of customers transitioning designs into production or migrating processes between manufacturing nodes.</w:t>
      </w:r>
    </w:p>
    <w:p w14:paraId="7B6B82D7"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MPW and Prototyping Services:</w:t>
      </w:r>
      <w:r w:rsidRPr="00B3562F">
        <w:rPr>
          <w:rFonts w:asciiTheme="majorBidi" w:hAnsiTheme="majorBidi" w:cstheme="majorBidi"/>
          <w:sz w:val="28"/>
          <w:szCs w:val="28"/>
        </w:rPr>
        <w:t xml:space="preserve"> Incremental revenue from scheduled multi-project wafer shuttle programs that allow customers to share wafer costs during design validation phases, serving as a commercial funnel for future high-volume production engagements.</w:t>
      </w:r>
    </w:p>
    <w:p w14:paraId="668766D7"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Key Activities and Resources</w:t>
      </w:r>
    </w:p>
    <w:p w14:paraId="7381464E"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Core activities include the continuous development, characterization, and qualification of differentiated analog and mixed-signal process platforms; high-volume precision wafer fabrication and yield optimization across a multi-continent fab network; and deep engineering co-development with customers spanning early concept through mass production ramp. Critical resources include an extensive intellectual property portfolio of proprietary process technology recipes, device models, and design rule sets spanning more than a dozen distinct specialty process families; a globally distributed, multi-node fabrication infrastructure spanning Israel, the United States, Japan, and Italy; a world-class analog process engineering workforce; and long-standing, high-intimacy customer relationships that serve as structural competitive moats.</w:t>
      </w:r>
    </w:p>
    <w:p w14:paraId="4173165F"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Key Partnerships and Cost Structure</w:t>
      </w:r>
    </w:p>
    <w:p w14:paraId="205429C1" w14:textId="55D6D027" w:rsidR="008D2571"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Strategic partnerships include a deep manufacturing and technology collaboration with STMicroelectronics at the jointly operated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xml:space="preserve"> 300mm facility in Italy; a capacity access agreement with Intel Foundry providing 300mm production corridor rights in New Mexico; a majority-owned manufacturing joint venture, </w:t>
      </w:r>
      <w:proofErr w:type="spellStart"/>
      <w:r w:rsidRPr="00B3562F">
        <w:rPr>
          <w:rFonts w:asciiTheme="majorBidi" w:hAnsiTheme="majorBidi" w:cstheme="majorBidi"/>
          <w:sz w:val="28"/>
          <w:szCs w:val="28"/>
        </w:rPr>
        <w:t>TPSCo</w:t>
      </w:r>
      <w:proofErr w:type="spellEnd"/>
      <w:r w:rsidRPr="00B3562F">
        <w:rPr>
          <w:rFonts w:asciiTheme="majorBidi" w:hAnsiTheme="majorBidi" w:cstheme="majorBidi"/>
          <w:sz w:val="28"/>
          <w:szCs w:val="28"/>
        </w:rPr>
        <w:t xml:space="preserve">, operating dual-node fabs across Japan; and EDA and photonic IP co-development alliances with partners including Cadence, Coherent, and Alcyon Photonics to expand design ecosystem breadth and accelerate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platform adoption. The cost structure is primarily driven by capital-intensive fab operations including depreciation on precision lithography, etch, deposition, and metrology toolsets; direct wafer materials including specialty substrates, process gases, and chemicals; ongoing research and development investment into next-generation process nodes and 3D-IC integration architectures; and a highly specialized engineering and technical operations workforce spanning process development, yield engineering, and customer-facing application support functions.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678FCE92" w:rsidR="00222249" w:rsidRPr="001457EB" w:rsidRDefault="00B3562F" w:rsidP="008E64CF">
      <w:pPr>
        <w:spacing w:after="0"/>
        <w:ind w:right="52"/>
        <w:rPr>
          <w:rFonts w:asciiTheme="majorBidi" w:hAnsiTheme="majorBidi" w:cstheme="majorBidi"/>
          <w:sz w:val="28"/>
        </w:rPr>
      </w:pPr>
      <w:permStart w:id="538801036" w:edGrp="everyone"/>
      <w:r w:rsidRPr="00B3562F">
        <w:rPr>
          <w:rFonts w:asciiTheme="majorBidi" w:hAnsiTheme="majorBidi" w:cstheme="majorBidi"/>
          <w:sz w:val="28"/>
        </w:rPr>
        <w:t>https://ir.towersemi.com/financial-information/sec-filings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https://towersemi.com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https://ir.towersemi.com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lastRenderedPageBreak/>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https://ir.towersemi.com/news-and-events/press-releases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lastRenderedPageBreak/>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lastRenderedPageBreak/>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4BD0" w14:textId="77777777" w:rsidR="00C50E36" w:rsidRDefault="00C50E36" w:rsidP="00105AC2">
      <w:pPr>
        <w:spacing w:after="0" w:line="240" w:lineRule="auto"/>
      </w:pPr>
      <w:r>
        <w:separator/>
      </w:r>
    </w:p>
  </w:endnote>
  <w:endnote w:type="continuationSeparator" w:id="0">
    <w:p w14:paraId="4F106331" w14:textId="77777777" w:rsidR="00C50E36" w:rsidRDefault="00C50E36" w:rsidP="00105AC2">
      <w:pPr>
        <w:spacing w:after="0" w:line="240" w:lineRule="auto"/>
      </w:pPr>
      <w:r>
        <w:continuationSeparator/>
      </w:r>
    </w:p>
  </w:endnote>
  <w:endnote w:type="continuationNotice" w:id="1">
    <w:p w14:paraId="79711BDC" w14:textId="77777777" w:rsidR="00C50E36" w:rsidRDefault="00C50E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0F99" w14:textId="77777777" w:rsidR="00C50E36" w:rsidRDefault="00C50E36" w:rsidP="00105AC2">
      <w:pPr>
        <w:spacing w:after="0" w:line="240" w:lineRule="auto"/>
      </w:pPr>
      <w:r>
        <w:separator/>
      </w:r>
    </w:p>
  </w:footnote>
  <w:footnote w:type="continuationSeparator" w:id="0">
    <w:p w14:paraId="64B05441" w14:textId="77777777" w:rsidR="00C50E36" w:rsidRDefault="00C50E36" w:rsidP="00105AC2">
      <w:pPr>
        <w:spacing w:after="0" w:line="240" w:lineRule="auto"/>
      </w:pPr>
      <w:r>
        <w:continuationSeparator/>
      </w:r>
    </w:p>
  </w:footnote>
  <w:footnote w:type="continuationNotice" w:id="1">
    <w:p w14:paraId="383DFFC4" w14:textId="77777777" w:rsidR="00C50E36" w:rsidRDefault="00C50E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C5697"/>
    <w:multiLevelType w:val="multilevel"/>
    <w:tmpl w:val="6CAC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63A71"/>
    <w:multiLevelType w:val="multilevel"/>
    <w:tmpl w:val="766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CF1658"/>
    <w:multiLevelType w:val="multilevel"/>
    <w:tmpl w:val="C2D2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852428"/>
    <w:multiLevelType w:val="multilevel"/>
    <w:tmpl w:val="8CF8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6E5920A6"/>
    <w:multiLevelType w:val="multilevel"/>
    <w:tmpl w:val="5856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374039241">
    <w:abstractNumId w:val="16"/>
  </w:num>
  <w:num w:numId="2" w16cid:durableId="689842053">
    <w:abstractNumId w:val="19"/>
  </w:num>
  <w:num w:numId="3" w16cid:durableId="317998931">
    <w:abstractNumId w:val="15"/>
  </w:num>
  <w:num w:numId="4" w16cid:durableId="497308352">
    <w:abstractNumId w:val="2"/>
  </w:num>
  <w:num w:numId="5" w16cid:durableId="801266386">
    <w:abstractNumId w:val="11"/>
  </w:num>
  <w:num w:numId="6" w16cid:durableId="1320690527">
    <w:abstractNumId w:val="23"/>
  </w:num>
  <w:num w:numId="7" w16cid:durableId="981158131">
    <w:abstractNumId w:val="5"/>
  </w:num>
  <w:num w:numId="8" w16cid:durableId="1513691329">
    <w:abstractNumId w:val="25"/>
  </w:num>
  <w:num w:numId="9" w16cid:durableId="1340935292">
    <w:abstractNumId w:val="6"/>
  </w:num>
  <w:num w:numId="10" w16cid:durableId="2095008737">
    <w:abstractNumId w:val="10"/>
  </w:num>
  <w:num w:numId="11" w16cid:durableId="1271930289">
    <w:abstractNumId w:val="3"/>
  </w:num>
  <w:num w:numId="12" w16cid:durableId="794642167">
    <w:abstractNumId w:val="17"/>
  </w:num>
  <w:num w:numId="13" w16cid:durableId="32120460">
    <w:abstractNumId w:val="21"/>
  </w:num>
  <w:num w:numId="14" w16cid:durableId="531769415">
    <w:abstractNumId w:val="1"/>
  </w:num>
  <w:num w:numId="15" w16cid:durableId="1145781408">
    <w:abstractNumId w:val="0"/>
  </w:num>
  <w:num w:numId="16" w16cid:durableId="911045874">
    <w:abstractNumId w:val="8"/>
  </w:num>
  <w:num w:numId="17" w16cid:durableId="1785347510">
    <w:abstractNumId w:val="12"/>
  </w:num>
  <w:num w:numId="18" w16cid:durableId="1195928464">
    <w:abstractNumId w:val="7"/>
  </w:num>
  <w:num w:numId="19" w16cid:durableId="1096172587">
    <w:abstractNumId w:val="22"/>
  </w:num>
  <w:num w:numId="20" w16cid:durableId="893584131">
    <w:abstractNumId w:val="13"/>
  </w:num>
  <w:num w:numId="21" w16cid:durableId="303505819">
    <w:abstractNumId w:val="20"/>
  </w:num>
  <w:num w:numId="22" w16cid:durableId="298655260">
    <w:abstractNumId w:val="26"/>
  </w:num>
  <w:num w:numId="23" w16cid:durableId="1606573225">
    <w:abstractNumId w:val="14"/>
  </w:num>
  <w:num w:numId="24" w16cid:durableId="533154376">
    <w:abstractNumId w:val="9"/>
  </w:num>
  <w:num w:numId="25" w16cid:durableId="538592697">
    <w:abstractNumId w:val="24"/>
  </w:num>
  <w:num w:numId="26" w16cid:durableId="424618755">
    <w:abstractNumId w:val="4"/>
  </w:num>
  <w:num w:numId="27" w16cid:durableId="66205227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ZDJiNGVmNWMtZWE0ZC00NWRjLWFiMDUtZTc1ZDFkZDMxNTRjXCIsXCJhZWY2NWI0YS0y"/>
    <w:docVar w:name="GVData0" w:val="NGI0LTRjYTMtOTAxYS1hM2I3NDUyNzg1YWJcIixcIjM1Nzk2ZDY4LThiYzAtNDAzNy1hZGRiLTlhMWMyNDdkNjMxYlwiLFwiYzIwNzM5NTUtYmZmYy00N2YyLWI1OTQtMDU2Y2NiMmNjMzE1XCIsXCI1YjBjMDU5MC04MTFiLTRiYTktOTgxZS1hODBhMmU4MzlhZjlc"/>
    <w:docVar w:name="GVData1" w:val="IixcIjc2YTA3NWUzLTY5Y2MtNGVmYS05ZGFkLTUwODJmOWNmZjgzZVwiLFwiODA3OTZkZDMtNjBjMi00NjUwLWE3NzItY2IwNjYyMGRiM2RkXCIsXCI4ZTcyMThkYS0zODM4LTRjY2MtOWViOC0yYjQ5NWE5NjJiMDNcIixcIjg3ZWQ2MGUyLTAyZDktNGYxYy04Y2Vm"/>
    <w:docVar w:name="GVData2" w:val="LThhNDZjY2I1YjdmNlwiLFwiNzM0ZGZmMzgtNDYxOS00NGQ2LTg4MjAtYTcxZDA3NDQzYjM3XCJdIiwid3JpdHRlbktleXMiOiJbXCJndmRvY2lkXCIsXCJDbGFzc2lmaWNhdGlvblwiLFwiQ3VzdG9tZXJOYW1lXCIsXCJGaWxlSWRcIixcIlVzZXJJZFwiLFwiVGFn"/>
    <w:docVar w:name="GVData3" w:val="RGF0ZVRpbWVcIixcIktUQlwiLFwiQ2xhc3NpZmljYXRpb25HdWlkXCJdIiwibm9PZkd2RGF0YUVudHJpZXMiOiI3IiwibGluZUlkIjoiOWM4NjVjMzctZTJhMy00M2M3LThhNGItZDM2ZGRhYzYxOTk1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3:20:33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4598"/>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5C0"/>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A7802"/>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6C49"/>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62B"/>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D7CD1"/>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5C90"/>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81A"/>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2F6"/>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2AD0"/>
    <w:rsid w:val="00673143"/>
    <w:rsid w:val="00673385"/>
    <w:rsid w:val="0067433D"/>
    <w:rsid w:val="00674A33"/>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3D"/>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9C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3FDB"/>
    <w:rsid w:val="00854290"/>
    <w:rsid w:val="0085678B"/>
    <w:rsid w:val="0085757F"/>
    <w:rsid w:val="00860586"/>
    <w:rsid w:val="008613CE"/>
    <w:rsid w:val="00861A82"/>
    <w:rsid w:val="00862E0E"/>
    <w:rsid w:val="00862F2B"/>
    <w:rsid w:val="0086344D"/>
    <w:rsid w:val="008635E5"/>
    <w:rsid w:val="008635EB"/>
    <w:rsid w:val="00863949"/>
    <w:rsid w:val="008641FD"/>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674E2"/>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79F"/>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62F"/>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806"/>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0E36"/>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9B1"/>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557A"/>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4F00"/>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B3562F"/>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B356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30</TotalTime>
  <Pages>15</Pages>
  <Words>7253</Words>
  <Characters>32567</Characters>
  <Application>Microsoft Office Word</Application>
  <DocSecurity>8</DocSecurity>
  <Lines>397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39650</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18</cp:revision>
  <cp:lastPrinted>2026-08-07T06:46:00Z</cp:lastPrinted>
  <dcterms:created xsi:type="dcterms:W3CDTF">2026-04-27T09:24:00Z</dcterms:created>
  <dcterms:modified xsi:type="dcterms:W3CDTF">2026-08-10T03:20:00Z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2569-08-10T03:20:33Z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eyJPUyI6IldpbmRvd3MiLCJkb2NJRCI6IjZlMjc0YWIzLTcyZDEtNGFjYi1hNzc5LWFlNzBlZWFhOGI0ZiIsImRvY1N0YXRlIjoie30iLCJwYXJlbnRMaW5lSWRzIjoiW1wiZDJiNGVmNWMtZWE0ZC00NWRjLWFiMDUtZTc1ZDFkZDMxNTRjXCIsXCJhZWY2NWI0YS0y</vt:lpwstr>
  </property>
  <property fmtid="{D5CDD505-2E9C-101B-9397-08002B2CF9AE}" pid="9" name="GVData0">
    <vt:lpwstr>NGI0LTRjYTMtOTAxYS1hM2I3NDUyNzg1YWJcIixcIjM1Nzk2ZDY4LThiYzAtNDAzNy1hZGRiLTlhMWMyNDdkNjMxYlwiLFwiYzIwNzM5NTUtYmZmYy00N2YyLWI1OTQtMDU2Y2NiMmNjMzE1XCIsXCI1YjBjMDU5MC04MTFiLTRiYTktOTgxZS1hODBhMmU4MzlhZjlc</vt:lpwstr>
  </property>
  <property fmtid="{D5CDD505-2E9C-101B-9397-08002B2CF9AE}" pid="10" name="GVData1">
    <vt:lpwstr>IixcIjc2YTA3NWUzLTY5Y2MtNGVmYS05ZGFkLTUwODJmOWNmZjgzZVwiLFwiODA3OTZkZDMtNjBjMi00NjUwLWE3NzItY2IwNjYyMGRiM2RkXCIsXCI4ZTcyMThkYS0zODM4LTRjY2MtOWViOC0yYjQ5NWE5NjJiMDNcIixcIjg3ZWQ2MGUyLTAyZDktNGYxYy04Y2Vm</vt:lpwstr>
  </property>
  <property fmtid="{D5CDD505-2E9C-101B-9397-08002B2CF9AE}" pid="11" name="GVData2">
    <vt:lpwstr>LThhNDZjY2I1YjdmNlwiLFwiNzM0ZGZmMzgtNDYxOS00NGQ2LTg4MjAtYTcxZDA3NDQzYjM3XCJdIiwid3JpdHRlbktleXMiOiJbXCJndmRvY2lkXCIsXCJDbGFzc2lmaWNhdGlvblwiLFwiQ3VzdG9tZXJOYW1lXCIsXCJGaWxlSWRcIixcIlVzZXJJZFwiLFwiVGFn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RGF0ZVRpbWVcIixcIktUQlwiLFwiQ2xhc3NpZmljYXRpb25HdWlkXCJdIiwibm9PZkd2RGF0YUVudHJpZXMiOiI3IiwibGluZUlkIjoiOWM4NjVjMzctZTJhMy00M2M3LThhNGItZDM2ZGRhYzYxOTk1IiwidGFnc2V0X2UxNjQwOWE3XzE3MDBfNDE1M185MDkwXzM5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