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QUALCOMM INCORPORATED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QUALCOMM INCORPORATED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 ("QUALCOMM")</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195471FD"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QUALCOMM INCORPORATED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QCOM80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0BE19F47"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9A780C" w:rsidRPr="005E479A">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QUALCOMM INCORPORATED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5775 Morehouse Drive</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San Diego, California, 92121</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+1-858-587-1121</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NA</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www.qualcomm.com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https://www.nasdaq.com/market-activity/stocks/qcom</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BA56295" w14:textId="6CA533D0"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Overview</w:t>
      </w:r>
    </w:p>
    <w:p w14:paraId="27605A5E" w14:textId="3B23EF6E"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 xml:space="preserve">Qualcomm is the foundational silicon and intellectual property engine powering the global wireless ecosystem, from the smartphone in your pocket to the software-defined automobile on the road and the AI-enabled edge device in the factory. Founded on the principle of making wireless technology universally accessible and perpetually more intelligent, it operates as a dual-engine business combining a high-velocity semiconductor design and supply operation with one of the most valuable wireless technology licensing portfolios ever assembled. The company designs cutting-edge system-on-chip platforms and system software across mobile, automotive, IoT, and </w:t>
      </w:r>
      <w:proofErr w:type="gramStart"/>
      <w:r w:rsidRPr="009A780C">
        <w:rPr>
          <w:rFonts w:asciiTheme="majorBidi" w:hAnsiTheme="majorBidi" w:cstheme="majorBidi"/>
          <w:sz w:val="28"/>
          <w:szCs w:val="28"/>
        </w:rPr>
        <w:t>increasingly</w:t>
      </w:r>
      <w:proofErr w:type="gramEnd"/>
      <w:r w:rsidRPr="009A780C">
        <w:rPr>
          <w:rFonts w:asciiTheme="majorBidi" w:hAnsiTheme="majorBidi" w:cstheme="majorBidi"/>
          <w:sz w:val="28"/>
          <w:szCs w:val="28"/>
        </w:rPr>
        <w:t xml:space="preserve"> data center markets, while simultaneously monetizing its foundational 3G, 4G, and 5G standards-essential patent estate through a global licensing business that generates durable, high-margin royalty income.</w:t>
      </w:r>
    </w:p>
    <w:p w14:paraId="36779C39"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Principal Business Operations</w:t>
      </w:r>
    </w:p>
    <w:p w14:paraId="25B0F98C"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Operations are organized across two primary reporting segments and one strategic initiatives unit:</w:t>
      </w:r>
    </w:p>
    <w:p w14:paraId="1162243D" w14:textId="77777777" w:rsidR="009A780C" w:rsidRPr="009A780C" w:rsidRDefault="009A780C" w:rsidP="009A780C">
      <w:pPr>
        <w:pStyle w:val="font-claude-response-body"/>
        <w:numPr>
          <w:ilvl w:val="0"/>
          <w:numId w:val="23"/>
        </w:numPr>
        <w:jc w:val="both"/>
        <w:rPr>
          <w:rFonts w:asciiTheme="majorBidi" w:hAnsiTheme="majorBidi" w:cstheme="majorBidi"/>
          <w:sz w:val="28"/>
          <w:szCs w:val="28"/>
        </w:rPr>
      </w:pPr>
      <w:r w:rsidRPr="009A780C">
        <w:rPr>
          <w:rStyle w:val="Strong"/>
          <w:rFonts w:asciiTheme="majorBidi" w:hAnsiTheme="majorBidi" w:cstheme="majorBidi"/>
          <w:sz w:val="28"/>
          <w:szCs w:val="28"/>
        </w:rPr>
        <w:t>QCT (Qualcomm CDMA Technologies) Segment:</w:t>
      </w:r>
      <w:r w:rsidRPr="009A780C">
        <w:rPr>
          <w:rFonts w:asciiTheme="majorBidi" w:hAnsiTheme="majorBidi" w:cstheme="majorBidi"/>
          <w:sz w:val="28"/>
          <w:szCs w:val="28"/>
        </w:rPr>
        <w:t xml:space="preserve"> The dominant revenue engine, generating approximately 86% of total revenues. Designs and supplies integrated circuits and system software under </w:t>
      </w:r>
      <w:proofErr w:type="gramStart"/>
      <w:r w:rsidRPr="009A780C">
        <w:rPr>
          <w:rFonts w:asciiTheme="majorBidi" w:hAnsiTheme="majorBidi" w:cstheme="majorBidi"/>
          <w:sz w:val="28"/>
          <w:szCs w:val="28"/>
        </w:rPr>
        <w:t>the flagship</w:t>
      </w:r>
      <w:proofErr w:type="gramEnd"/>
      <w:r w:rsidRPr="009A780C">
        <w:rPr>
          <w:rFonts w:asciiTheme="majorBidi" w:hAnsiTheme="majorBidi" w:cstheme="majorBidi"/>
          <w:sz w:val="28"/>
          <w:szCs w:val="28"/>
        </w:rPr>
        <w:t xml:space="preserve"> Snapdragon and Qualcomm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 xml:space="preserve"> platform brands across three end-market verticals: handsets (premium Android smartphones and AI PCs), automotive (connected vehicle systems via the Snapdragon Digital Chassis), and IoT (consumer electronics, industrial edge devices, extended reality headsets, and networking equipment).</w:t>
      </w:r>
    </w:p>
    <w:p w14:paraId="7D14EA5C" w14:textId="77777777" w:rsidR="009A780C" w:rsidRPr="009A780C" w:rsidRDefault="009A780C" w:rsidP="009A780C">
      <w:pPr>
        <w:pStyle w:val="font-claude-response-body"/>
        <w:numPr>
          <w:ilvl w:val="0"/>
          <w:numId w:val="23"/>
        </w:numPr>
        <w:jc w:val="both"/>
        <w:rPr>
          <w:rFonts w:asciiTheme="majorBidi" w:hAnsiTheme="majorBidi" w:cstheme="majorBidi"/>
          <w:sz w:val="28"/>
          <w:szCs w:val="28"/>
        </w:rPr>
      </w:pPr>
      <w:r w:rsidRPr="009A780C">
        <w:rPr>
          <w:rStyle w:val="Strong"/>
          <w:rFonts w:asciiTheme="majorBidi" w:hAnsiTheme="majorBidi" w:cstheme="majorBidi"/>
          <w:sz w:val="28"/>
          <w:szCs w:val="28"/>
        </w:rPr>
        <w:t>QTL (Qualcomm Technology Licensing) Segment:</w:t>
      </w:r>
      <w:r w:rsidRPr="009A780C">
        <w:rPr>
          <w:rFonts w:asciiTheme="majorBidi" w:hAnsiTheme="majorBidi" w:cstheme="majorBidi"/>
          <w:sz w:val="28"/>
          <w:szCs w:val="28"/>
        </w:rPr>
        <w:t xml:space="preserve"> Grants licenses and associated rights to use Qualcomm's extensive intellectual property portfolio, including patents essential to 3G, 4G, and 5G wireless communication standards, to global device manufacturers (OEMs). </w:t>
      </w:r>
      <w:proofErr w:type="gramStart"/>
      <w:r w:rsidRPr="009A780C">
        <w:rPr>
          <w:rFonts w:asciiTheme="majorBidi" w:hAnsiTheme="majorBidi" w:cstheme="majorBidi"/>
          <w:sz w:val="28"/>
          <w:szCs w:val="28"/>
        </w:rPr>
        <w:t>Generates</w:t>
      </w:r>
      <w:proofErr w:type="gramEnd"/>
      <w:r w:rsidRPr="009A780C">
        <w:rPr>
          <w:rFonts w:asciiTheme="majorBidi" w:hAnsiTheme="majorBidi" w:cstheme="majorBidi"/>
          <w:sz w:val="28"/>
          <w:szCs w:val="28"/>
        </w:rPr>
        <w:t xml:space="preserve"> consistent, capital-light royalty income tied to global handset unit volumes and average selling prices.</w:t>
      </w:r>
    </w:p>
    <w:p w14:paraId="2828DECA" w14:textId="3B3D5E99" w:rsidR="009A780C" w:rsidRPr="009A780C" w:rsidRDefault="009A780C" w:rsidP="009A780C">
      <w:pPr>
        <w:pStyle w:val="font-claude-response-body"/>
        <w:numPr>
          <w:ilvl w:val="0"/>
          <w:numId w:val="23"/>
        </w:numPr>
        <w:jc w:val="both"/>
        <w:rPr>
          <w:rFonts w:asciiTheme="majorBidi" w:hAnsiTheme="majorBidi" w:cstheme="majorBidi"/>
          <w:sz w:val="28"/>
          <w:szCs w:val="28"/>
        </w:rPr>
      </w:pPr>
      <w:r w:rsidRPr="009A780C">
        <w:rPr>
          <w:rStyle w:val="Strong"/>
          <w:rFonts w:asciiTheme="majorBidi" w:hAnsiTheme="majorBidi" w:cstheme="majorBidi"/>
          <w:sz w:val="28"/>
          <w:szCs w:val="28"/>
        </w:rPr>
        <w:t>QSI (Qualcomm Strategic Initiatives) Segment:</w:t>
      </w:r>
      <w:r w:rsidRPr="009A780C">
        <w:rPr>
          <w:rFonts w:asciiTheme="majorBidi" w:hAnsiTheme="majorBidi" w:cstheme="majorBidi"/>
          <w:sz w:val="28"/>
          <w:szCs w:val="28"/>
        </w:rPr>
        <w:t xml:space="preserve"> Focuses on incubating new technology vectors and supporting ecosystem expansion through early-stage investments and strategic initiatives, including nascent data center inference accelerator commercialization via the Cloud AI 100 platform family.</w:t>
      </w:r>
    </w:p>
    <w:p w14:paraId="42F7BA35"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Supply Chain and Infrastructure</w:t>
      </w:r>
    </w:p>
    <w:p w14:paraId="4711ADB3" w14:textId="218F13C2"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Qualcomm operates as a fabless semiconductor company, designing proprietary chip architectures — including its custom Oryon CPU cores, Adreno GPUs, and integrated Neural Processing Units (</w:t>
      </w:r>
      <w:proofErr w:type="gramStart"/>
      <w:r w:rsidRPr="009A780C">
        <w:rPr>
          <w:rFonts w:asciiTheme="majorBidi" w:hAnsiTheme="majorBidi" w:cstheme="majorBidi"/>
          <w:sz w:val="28"/>
          <w:szCs w:val="28"/>
        </w:rPr>
        <w:t>NPUs) —</w:t>
      </w:r>
      <w:proofErr w:type="gramEnd"/>
      <w:r w:rsidRPr="009A780C">
        <w:rPr>
          <w:rFonts w:asciiTheme="majorBidi" w:hAnsiTheme="majorBidi" w:cstheme="majorBidi"/>
          <w:sz w:val="28"/>
          <w:szCs w:val="28"/>
        </w:rPr>
        <w:t xml:space="preserve"> while outsourcing wafer fabrication to leading-edge foundry partners such as TSMC. This asset-light model concentrates capital allocation into research and development rather than capital-intensive manufacturing facilities. The company maintains significant engineering infrastructure across its headquarters in San Diego, California, and global R&amp;D centers. Its Snapdragon platform architecture is notable for its unified design philosophy — employing consistent IP blocks across mobile, PC, automotive, and IoT end markets — which reduces internal development fragmentation and simplifies the software ecosystem for OEM partners and application developers.</w:t>
      </w:r>
    </w:p>
    <w:p w14:paraId="0C418FE9"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Strategy and Future Prospects</w:t>
      </w:r>
    </w:p>
    <w:p w14:paraId="4A3A95FE"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The strategy is built on leveraging deep connectivity and power-efficiency expertise to systematically expand Qualcomm's total addressable market well beyond its smartphone origins. Key strategic pillars include:</w:t>
      </w:r>
    </w:p>
    <w:p w14:paraId="4498FB87"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Edge AI Ubiquity:</w:t>
      </w:r>
      <w:r w:rsidRPr="009A780C">
        <w:rPr>
          <w:rFonts w:asciiTheme="majorBidi" w:hAnsiTheme="majorBidi" w:cstheme="majorBidi"/>
          <w:sz w:val="28"/>
          <w:szCs w:val="28"/>
        </w:rPr>
        <w:t xml:space="preserve"> Deploying on-device AI inference capabilities across every Snapdragon-powered platform category — smartphones, AI PCs, automobiles, wearables, and industrial IoT devices — to establish Qualcomm as the horizontal enabling platform for intelligent edge computing at scale.</w:t>
      </w:r>
    </w:p>
    <w:p w14:paraId="3BF6441B"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Automotive Franchise Scaling:</w:t>
      </w:r>
      <w:r w:rsidRPr="009A780C">
        <w:rPr>
          <w:rFonts w:asciiTheme="majorBidi" w:hAnsiTheme="majorBidi" w:cstheme="majorBidi"/>
          <w:sz w:val="28"/>
          <w:szCs w:val="28"/>
        </w:rPr>
        <w:t xml:space="preserve"> Executing on a $45 billion design-win pipeline through the Snapdragon Digital Chassis, which integrates ADAS, digital cockpit, connectivity, and cloud services into a unified software-defined vehicle platform, targeting $8 billion in automotive revenue by fiscal 2029.</w:t>
      </w:r>
    </w:p>
    <w:p w14:paraId="719FA662"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Data Center Inference Entry:</w:t>
      </w:r>
      <w:r w:rsidRPr="009A780C">
        <w:rPr>
          <w:rFonts w:asciiTheme="majorBidi" w:hAnsiTheme="majorBidi" w:cstheme="majorBidi"/>
          <w:sz w:val="28"/>
          <w:szCs w:val="28"/>
        </w:rPr>
        <w:t xml:space="preserve"> Penetrating the high-growth cloud inference market with the Cloud AI 100 accelerator family, leveraging Qualcomm's power-efficiency advantages to serve </w:t>
      </w:r>
      <w:proofErr w:type="spellStart"/>
      <w:r w:rsidRPr="009A780C">
        <w:rPr>
          <w:rFonts w:asciiTheme="majorBidi" w:hAnsiTheme="majorBidi" w:cstheme="majorBidi"/>
          <w:sz w:val="28"/>
          <w:szCs w:val="28"/>
        </w:rPr>
        <w:t>hyperscaler</w:t>
      </w:r>
      <w:proofErr w:type="spellEnd"/>
      <w:r w:rsidRPr="009A780C">
        <w:rPr>
          <w:rFonts w:asciiTheme="majorBidi" w:hAnsiTheme="majorBidi" w:cstheme="majorBidi"/>
          <w:sz w:val="28"/>
          <w:szCs w:val="28"/>
        </w:rPr>
        <w:t xml:space="preserve"> workloads and complete an end-to-end Hybrid AI architecture spanning edge to cloud.</w:t>
      </w:r>
    </w:p>
    <w:p w14:paraId="14BEF0FE" w14:textId="77777777"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IoT and Industrial Expansion:</w:t>
      </w:r>
      <w:r w:rsidRPr="009A780C">
        <w:rPr>
          <w:rFonts w:asciiTheme="majorBidi" w:hAnsiTheme="majorBidi" w:cstheme="majorBidi"/>
          <w:sz w:val="28"/>
          <w:szCs w:val="28"/>
        </w:rPr>
        <w:t xml:space="preserve"> Scaling the Qualcomm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 xml:space="preserve"> enterprise platform and the recently acquired Arduino developer ecosystem (30 million users) to accelerate edge AI adoption across industrial, networking, and embedded markets, targeting IoT revenues exceeding $14 billion by 2029.</w:t>
      </w:r>
    </w:p>
    <w:p w14:paraId="5AD42E50" w14:textId="6DAFBD81" w:rsidR="009A780C" w:rsidRPr="009A780C" w:rsidRDefault="009A780C" w:rsidP="009A780C">
      <w:pPr>
        <w:pStyle w:val="font-claude-response-body"/>
        <w:numPr>
          <w:ilvl w:val="0"/>
          <w:numId w:val="24"/>
        </w:numPr>
        <w:jc w:val="both"/>
        <w:rPr>
          <w:rFonts w:asciiTheme="majorBidi" w:hAnsiTheme="majorBidi" w:cstheme="majorBidi"/>
          <w:sz w:val="28"/>
          <w:szCs w:val="28"/>
        </w:rPr>
      </w:pPr>
      <w:r w:rsidRPr="009A780C">
        <w:rPr>
          <w:rStyle w:val="Strong"/>
          <w:rFonts w:asciiTheme="majorBidi" w:hAnsiTheme="majorBidi" w:cstheme="majorBidi"/>
          <w:sz w:val="28"/>
          <w:szCs w:val="28"/>
        </w:rPr>
        <w:t>PC Market Penetration:</w:t>
      </w:r>
      <w:r w:rsidRPr="009A780C">
        <w:rPr>
          <w:rFonts w:asciiTheme="majorBidi" w:hAnsiTheme="majorBidi" w:cstheme="majorBidi"/>
          <w:sz w:val="28"/>
          <w:szCs w:val="28"/>
        </w:rPr>
        <w:t xml:space="preserve"> Challenging the incumbent x86 duopoly with Snapdragon X Series AI PC platforms, targeting 150+ OEM designs through 2026 with next-generation NPUs capable of up to 80 TOPS of on-device AI performance.</w:t>
      </w:r>
    </w:p>
    <w:p w14:paraId="19018E1A"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Value Propositions</w:t>
      </w:r>
    </w:p>
    <w:p w14:paraId="24D2577F" w14:textId="5F83E1CD"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 xml:space="preserve">Qualcomm's value is anchored in its unmatched combination of wireless connectivity leadership, power-efficient computing architecture, and deeply integrated AI acceleration delivered at scale across billions of devices. For device OEMs, Snapdragon platforms provide a unified silicon and software foundation that accelerates time-to-market and reduces integration complexity across heterogeneous device categories. For automotive manufacturers, the Snapdragon Digital Chassis offers a future-proof, software-upgradable vehicle compute platform that consolidates fragmented in-vehicle electronic architectures. For enterprise and industrial operators,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-based edge solutions deliver cloud-grade AI inference at the device level without the latency, bandwidth costs, or privacy exposures of cloud-dependent architectures. For licensees, Qualcomm's foundational IP portfolio provides the essential technical building blocks for global 5G device deployment, backed by decades of standards development investment.</w:t>
      </w:r>
    </w:p>
    <w:p w14:paraId="3473776F"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Customer Segments</w:t>
      </w:r>
    </w:p>
    <w:p w14:paraId="4CB99E10"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Qualcomm serves a diversified global base of technology manufacturers, platform operators, and infrastructure providers:</w:t>
      </w:r>
    </w:p>
    <w:p w14:paraId="07F1A342"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Smartphone OEMs:</w:t>
      </w:r>
      <w:r w:rsidRPr="009A780C">
        <w:rPr>
          <w:rFonts w:asciiTheme="majorBidi" w:hAnsiTheme="majorBidi" w:cstheme="majorBidi"/>
          <w:sz w:val="28"/>
          <w:szCs w:val="28"/>
        </w:rPr>
        <w:t xml:space="preserve"> Global premium Android device manufacturers including Samsung, Xiaomi, OPPO, vivo, and Honor, as well as Apple (modem supply), requiring leading-edge mobile SoC and modem technology for flagship handset programs.</w:t>
      </w:r>
    </w:p>
    <w:p w14:paraId="5C10CD7A"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PC and XR OEMs:</w:t>
      </w:r>
      <w:r w:rsidRPr="009A780C">
        <w:rPr>
          <w:rFonts w:asciiTheme="majorBidi" w:hAnsiTheme="majorBidi" w:cstheme="majorBidi"/>
          <w:sz w:val="28"/>
          <w:szCs w:val="28"/>
        </w:rPr>
        <w:t xml:space="preserve"> Laptop manufacturers including Microsoft Surface, Lenovo, HP, Dell, and ASUS, alongside extended reality headset makers adopting Snapdragon X Series and XR platforms for AI PC and spatial computing devices.</w:t>
      </w:r>
    </w:p>
    <w:p w14:paraId="0BA7AB7F"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Automotive OEMs and Tier-1 Suppliers:</w:t>
      </w:r>
      <w:r w:rsidRPr="009A780C">
        <w:rPr>
          <w:rFonts w:asciiTheme="majorBidi" w:hAnsiTheme="majorBidi" w:cstheme="majorBidi"/>
          <w:sz w:val="28"/>
          <w:szCs w:val="28"/>
        </w:rPr>
        <w:t xml:space="preserve"> Global vehicle manufacturers including General Motors, Stellantis, BMW, Renault, and Honda adopting the Snapdragon Digital Chassis for next-generation connected and software-defined vehicle programs.</w:t>
      </w:r>
    </w:p>
    <w:p w14:paraId="3A6AE960" w14:textId="77777777"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t>IoT and Industrial Enterprises:</w:t>
      </w:r>
      <w:r w:rsidRPr="009A780C">
        <w:rPr>
          <w:rFonts w:asciiTheme="majorBidi" w:hAnsiTheme="majorBidi" w:cstheme="majorBidi"/>
          <w:sz w:val="28"/>
          <w:szCs w:val="28"/>
        </w:rPr>
        <w:t xml:space="preserve"> Industrial automation companies, networking equipment manufacturers, smart home device makers, and embedded systems developers deploying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-based solutions for edge AI and connected device applications.</w:t>
      </w:r>
    </w:p>
    <w:p w14:paraId="1F72979B" w14:textId="592B91FC" w:rsidR="009A780C" w:rsidRPr="009A780C" w:rsidRDefault="009A780C" w:rsidP="009A780C">
      <w:pPr>
        <w:pStyle w:val="font-claude-response-body"/>
        <w:numPr>
          <w:ilvl w:val="0"/>
          <w:numId w:val="25"/>
        </w:numPr>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Global Device Licensees (QTL):</w:t>
      </w:r>
      <w:r w:rsidRPr="009A780C">
        <w:rPr>
          <w:rFonts w:asciiTheme="majorBidi" w:hAnsiTheme="majorBidi" w:cstheme="majorBidi"/>
          <w:sz w:val="28"/>
          <w:szCs w:val="28"/>
        </w:rPr>
        <w:t xml:space="preserve"> Handset and device OEMs worldwide, particularly in China (including Xiaomi, OPPO, vivo, and </w:t>
      </w:r>
      <w:proofErr w:type="spellStart"/>
      <w:r w:rsidRPr="009A780C">
        <w:rPr>
          <w:rFonts w:asciiTheme="majorBidi" w:hAnsiTheme="majorBidi" w:cstheme="majorBidi"/>
          <w:sz w:val="28"/>
          <w:szCs w:val="28"/>
        </w:rPr>
        <w:t>Transsion</w:t>
      </w:r>
      <w:proofErr w:type="spellEnd"/>
      <w:r w:rsidRPr="009A780C">
        <w:rPr>
          <w:rFonts w:asciiTheme="majorBidi" w:hAnsiTheme="majorBidi" w:cstheme="majorBidi"/>
          <w:sz w:val="28"/>
          <w:szCs w:val="28"/>
        </w:rPr>
        <w:t>), paying royalties for rights to use Qualcomm's essential wireless technology patents in their connected device portfolios.</w:t>
      </w:r>
    </w:p>
    <w:p w14:paraId="0A2EE09D"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Customer Relationships</w:t>
      </w:r>
    </w:p>
    <w:p w14:paraId="153B20ED" w14:textId="0E8C3A54"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Deep customer engagement is driven through long-cycle technical co-development programs, particularly in automotive and IoT, where Qualcomm's application engineering teams embed directly into OEM design processes across multi-year program timelines. In handsets, relationships are maintained through early-access chipset sampling, dedicated engineering support, and co-marketing partnerships that align Snapdragon platform launches with flagship device release cycles. Licensing relationships are managed through a combination of bilateral negotiation, standards body participation, and structured long-term license agreements, with renewal cycles for major Chinese OEMs providing a recurring engagement rhythm for the QTL team.</w:t>
      </w:r>
    </w:p>
    <w:p w14:paraId="186AD002"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Channels</w:t>
      </w:r>
    </w:p>
    <w:p w14:paraId="54BAA123"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Products and technologies reach customers through a mix of direct enterprise sales and ecosystem-driven distribution:</w:t>
      </w:r>
    </w:p>
    <w:p w14:paraId="16C48F56" w14:textId="77777777" w:rsidR="009A780C" w:rsidRPr="009A780C" w:rsidRDefault="009A780C" w:rsidP="009A780C">
      <w:pPr>
        <w:pStyle w:val="font-claude-response-body"/>
        <w:numPr>
          <w:ilvl w:val="0"/>
          <w:numId w:val="26"/>
        </w:numPr>
        <w:jc w:val="both"/>
        <w:rPr>
          <w:rFonts w:asciiTheme="majorBidi" w:hAnsiTheme="majorBidi" w:cstheme="majorBidi"/>
          <w:sz w:val="28"/>
          <w:szCs w:val="28"/>
        </w:rPr>
      </w:pPr>
      <w:r w:rsidRPr="009A780C">
        <w:rPr>
          <w:rStyle w:val="Strong"/>
          <w:rFonts w:asciiTheme="majorBidi" w:hAnsiTheme="majorBidi" w:cstheme="majorBidi"/>
          <w:sz w:val="28"/>
          <w:szCs w:val="28"/>
        </w:rPr>
        <w:t>Direct OEM Sales and Design Engagement:</w:t>
      </w:r>
      <w:r w:rsidRPr="009A780C">
        <w:rPr>
          <w:rFonts w:asciiTheme="majorBidi" w:hAnsiTheme="majorBidi" w:cstheme="majorBidi"/>
          <w:sz w:val="28"/>
          <w:szCs w:val="28"/>
        </w:rPr>
        <w:t xml:space="preserve"> Named-account semiconductor sales teams engaging device manufacturers, automotive OEMs, and Tier-1 suppliers directly for chipset supply agreements, design wins, and technical enablement.</w:t>
      </w:r>
    </w:p>
    <w:p w14:paraId="0DBBA4FF" w14:textId="77777777" w:rsidR="009A780C" w:rsidRPr="009A780C" w:rsidRDefault="009A780C" w:rsidP="009A780C">
      <w:pPr>
        <w:pStyle w:val="font-claude-response-body"/>
        <w:numPr>
          <w:ilvl w:val="0"/>
          <w:numId w:val="26"/>
        </w:numPr>
        <w:jc w:val="both"/>
        <w:rPr>
          <w:rFonts w:asciiTheme="majorBidi" w:hAnsiTheme="majorBidi" w:cstheme="majorBidi"/>
          <w:sz w:val="28"/>
          <w:szCs w:val="28"/>
        </w:rPr>
      </w:pPr>
      <w:r w:rsidRPr="009A780C">
        <w:rPr>
          <w:rStyle w:val="Strong"/>
          <w:rFonts w:asciiTheme="majorBidi" w:hAnsiTheme="majorBidi" w:cstheme="majorBidi"/>
          <w:sz w:val="28"/>
          <w:szCs w:val="28"/>
        </w:rPr>
        <w:t>Developer Ecosystem Platforms:</w:t>
      </w:r>
      <w:r w:rsidRPr="009A780C">
        <w:rPr>
          <w:rFonts w:asciiTheme="majorBidi" w:hAnsiTheme="majorBidi" w:cstheme="majorBidi"/>
          <w:sz w:val="28"/>
          <w:szCs w:val="28"/>
        </w:rPr>
        <w:t xml:space="preserve"> The Qualcomm AI Hub, Qualcomm Developer Network, and the newly integrated Arduino developer platform (30 million users) providing software tools, reference designs, and AI model libraries to accelerate third-party application development on Snapdragon and </w:t>
      </w:r>
      <w:proofErr w:type="spellStart"/>
      <w:r w:rsidRPr="009A780C">
        <w:rPr>
          <w:rFonts w:asciiTheme="majorBidi" w:hAnsiTheme="majorBidi" w:cstheme="majorBidi"/>
          <w:sz w:val="28"/>
          <w:szCs w:val="28"/>
        </w:rPr>
        <w:t>Dragonwing</w:t>
      </w:r>
      <w:proofErr w:type="spellEnd"/>
      <w:r w:rsidRPr="009A780C">
        <w:rPr>
          <w:rFonts w:asciiTheme="majorBidi" w:hAnsiTheme="majorBidi" w:cstheme="majorBidi"/>
          <w:sz w:val="28"/>
          <w:szCs w:val="28"/>
        </w:rPr>
        <w:t xml:space="preserve"> hardware.</w:t>
      </w:r>
    </w:p>
    <w:p w14:paraId="3727168B" w14:textId="5A53333B" w:rsidR="009A780C" w:rsidRPr="009A780C" w:rsidRDefault="009A780C" w:rsidP="009A780C">
      <w:pPr>
        <w:pStyle w:val="font-claude-response-body"/>
        <w:numPr>
          <w:ilvl w:val="0"/>
          <w:numId w:val="26"/>
        </w:numPr>
        <w:jc w:val="both"/>
        <w:rPr>
          <w:rFonts w:asciiTheme="majorBidi" w:hAnsiTheme="majorBidi" w:cstheme="majorBidi"/>
          <w:sz w:val="28"/>
          <w:szCs w:val="28"/>
        </w:rPr>
      </w:pPr>
      <w:r w:rsidRPr="009A780C">
        <w:rPr>
          <w:rStyle w:val="Strong"/>
          <w:rFonts w:asciiTheme="majorBidi" w:hAnsiTheme="majorBidi" w:cstheme="majorBidi"/>
          <w:sz w:val="28"/>
          <w:szCs w:val="28"/>
        </w:rPr>
        <w:t>Licensing and Legal Affairs Teams:</w:t>
      </w:r>
      <w:r w:rsidRPr="009A780C">
        <w:rPr>
          <w:rFonts w:asciiTheme="majorBidi" w:hAnsiTheme="majorBidi" w:cstheme="majorBidi"/>
          <w:sz w:val="28"/>
          <w:szCs w:val="28"/>
        </w:rPr>
        <w:t xml:space="preserve"> Specialized IP licensing and patent legal units managing bilateral license negotiations, renewals, and compliance programs with global OEM licensees across handset, automotive, and IoT device categories.</w:t>
      </w:r>
    </w:p>
    <w:p w14:paraId="7198B613"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Revenue Streams</w:t>
      </w:r>
    </w:p>
    <w:p w14:paraId="0A8DE01B" w14:textId="77777777" w:rsidR="009A780C" w:rsidRPr="009A780C" w:rsidRDefault="009A780C" w:rsidP="009A780C">
      <w:pPr>
        <w:pStyle w:val="font-claude-response-body"/>
        <w:ind w:firstLine="360"/>
        <w:jc w:val="both"/>
        <w:rPr>
          <w:rFonts w:asciiTheme="majorBidi" w:hAnsiTheme="majorBidi" w:cstheme="majorBidi"/>
          <w:sz w:val="28"/>
          <w:szCs w:val="28"/>
        </w:rPr>
      </w:pPr>
      <w:r w:rsidRPr="009A780C">
        <w:rPr>
          <w:rFonts w:asciiTheme="majorBidi" w:hAnsiTheme="majorBidi" w:cstheme="majorBidi"/>
          <w:sz w:val="28"/>
          <w:szCs w:val="28"/>
        </w:rPr>
        <w:t>Revenue is generated through two structurally distinct and complementary streams:</w:t>
      </w:r>
    </w:p>
    <w:p w14:paraId="7FDB202E" w14:textId="77777777" w:rsidR="009A780C" w:rsidRPr="009A780C" w:rsidRDefault="009A780C" w:rsidP="009A780C">
      <w:pPr>
        <w:pStyle w:val="font-claude-response-body"/>
        <w:numPr>
          <w:ilvl w:val="0"/>
          <w:numId w:val="27"/>
        </w:numPr>
        <w:jc w:val="both"/>
        <w:rPr>
          <w:rFonts w:asciiTheme="majorBidi" w:hAnsiTheme="majorBidi" w:cstheme="majorBidi"/>
          <w:sz w:val="28"/>
          <w:szCs w:val="28"/>
        </w:rPr>
      </w:pPr>
      <w:r w:rsidRPr="009A780C">
        <w:rPr>
          <w:rStyle w:val="Strong"/>
          <w:rFonts w:asciiTheme="majorBidi" w:hAnsiTheme="majorBidi" w:cstheme="majorBidi"/>
          <w:sz w:val="28"/>
          <w:szCs w:val="28"/>
        </w:rPr>
        <w:t>Semiconductor and Systems Revenue (QCT):</w:t>
      </w:r>
      <w:r w:rsidRPr="009A780C">
        <w:rPr>
          <w:rFonts w:asciiTheme="majorBidi" w:hAnsiTheme="majorBidi" w:cstheme="majorBidi"/>
          <w:sz w:val="28"/>
          <w:szCs w:val="28"/>
        </w:rPr>
        <w:t xml:space="preserve"> The largest revenue contributor, driven by unit shipments of integrated circuit products across handset, automotive, and IoT end markets, with pricing tied to device tier, content complexity, and competitive dynamics. Revenue is transactional in nature but supported by long-term design-win cycles.</w:t>
      </w:r>
    </w:p>
    <w:p w14:paraId="6EBCF907" w14:textId="7711CA7A" w:rsidR="009A780C" w:rsidRPr="009A780C" w:rsidRDefault="009A780C" w:rsidP="009A780C">
      <w:pPr>
        <w:pStyle w:val="font-claude-response-body"/>
        <w:numPr>
          <w:ilvl w:val="0"/>
          <w:numId w:val="27"/>
        </w:numPr>
        <w:jc w:val="both"/>
        <w:rPr>
          <w:rFonts w:asciiTheme="majorBidi" w:hAnsiTheme="majorBidi" w:cstheme="majorBidi"/>
          <w:sz w:val="28"/>
          <w:szCs w:val="28"/>
        </w:rPr>
      </w:pPr>
      <w:r w:rsidRPr="009A780C">
        <w:rPr>
          <w:rStyle w:val="Strong"/>
          <w:rFonts w:asciiTheme="majorBidi" w:hAnsiTheme="majorBidi" w:cstheme="majorBidi"/>
          <w:sz w:val="28"/>
          <w:szCs w:val="28"/>
        </w:rPr>
        <w:t>Licensing Royalty Revenue (QTL):</w:t>
      </w:r>
      <w:r w:rsidRPr="009A780C">
        <w:rPr>
          <w:rFonts w:asciiTheme="majorBidi" w:hAnsiTheme="majorBidi" w:cstheme="majorBidi"/>
          <w:sz w:val="28"/>
          <w:szCs w:val="28"/>
        </w:rPr>
        <w:t xml:space="preserve"> High-margin, recurring royalty income calculated as a percentage of the net selling price of licensed devices, or flat per-unit fees, across global OEM </w:t>
      </w:r>
      <w:proofErr w:type="gramStart"/>
      <w:r w:rsidRPr="009A780C">
        <w:rPr>
          <w:rFonts w:asciiTheme="majorBidi" w:hAnsiTheme="majorBidi" w:cstheme="majorBidi"/>
          <w:sz w:val="28"/>
          <w:szCs w:val="28"/>
        </w:rPr>
        <w:t>licensees</w:t>
      </w:r>
      <w:proofErr w:type="gramEnd"/>
      <w:r w:rsidRPr="009A780C">
        <w:rPr>
          <w:rFonts w:asciiTheme="majorBidi" w:hAnsiTheme="majorBidi" w:cstheme="majorBidi"/>
          <w:sz w:val="28"/>
          <w:szCs w:val="28"/>
        </w:rPr>
        <w:t>. This stream is structurally capital-light, contributing disproportionately to operating income relative to its revenue share.</w:t>
      </w:r>
    </w:p>
    <w:p w14:paraId="62AA6233"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lastRenderedPageBreak/>
        <w:t>Key Activities and Resources</w:t>
      </w:r>
    </w:p>
    <w:p w14:paraId="5E390A9C" w14:textId="1274DF4D" w:rsidR="009A780C"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Core activities include intensive semiconductor research and development encompassing custom CPU, GPU, NPU, and modem architecture design; high-cadence chipset platform launches aligned to annual OEM design cycles; standards development and intellectual property generation within global wireless standards bodies (3GPP); and automotive platform integration engineering supporting multi-year OEM vehicle programs. Critical resources include one of the most valuable wireless technology patent portfolios globally, encompassing thousands of patents essential to 3G, 4G, and 5G standards; the Snapdragon brand and platform architecture spanning mobile, PC, automotive, and IoT markets; deep fabless manufacturing relationships with leading foundry partners; and a proprietary AI inference software stack enabling consistent on-device AI deployment across device categories.</w:t>
      </w:r>
    </w:p>
    <w:p w14:paraId="4D58EABF" w14:textId="77777777" w:rsidR="009A780C" w:rsidRPr="009A780C" w:rsidRDefault="009A780C" w:rsidP="009A780C">
      <w:pPr>
        <w:pStyle w:val="font-claude-response-body"/>
        <w:jc w:val="both"/>
        <w:rPr>
          <w:rFonts w:asciiTheme="majorBidi" w:hAnsiTheme="majorBidi" w:cstheme="majorBidi"/>
          <w:sz w:val="28"/>
          <w:szCs w:val="28"/>
        </w:rPr>
      </w:pPr>
      <w:r w:rsidRPr="009A780C">
        <w:rPr>
          <w:rStyle w:val="Strong"/>
          <w:rFonts w:asciiTheme="majorBidi" w:hAnsiTheme="majorBidi" w:cstheme="majorBidi"/>
          <w:sz w:val="28"/>
          <w:szCs w:val="28"/>
        </w:rPr>
        <w:t>Key Partnerships and Cost Structure</w:t>
      </w:r>
    </w:p>
    <w:p w14:paraId="205429C1" w14:textId="421C5CD5" w:rsidR="008D2571" w:rsidRPr="009A780C" w:rsidRDefault="009A780C" w:rsidP="009A780C">
      <w:pPr>
        <w:pStyle w:val="font-claude-response-body"/>
        <w:ind w:firstLine="720"/>
        <w:jc w:val="both"/>
        <w:rPr>
          <w:rFonts w:asciiTheme="majorBidi" w:hAnsiTheme="majorBidi" w:cstheme="majorBidi"/>
          <w:sz w:val="28"/>
          <w:szCs w:val="28"/>
        </w:rPr>
      </w:pPr>
      <w:r w:rsidRPr="009A780C">
        <w:rPr>
          <w:rFonts w:asciiTheme="majorBidi" w:hAnsiTheme="majorBidi" w:cstheme="majorBidi"/>
          <w:sz w:val="28"/>
          <w:szCs w:val="28"/>
        </w:rPr>
        <w:t>Strategic partnerships include foundry supply agreements with TSMC for leading-edge silicon fabrication; deep co-development collaborations with Microsoft on AI PC platforms; automotive integration alliances with Google (Android Automotive), GM, Stellantis, BMW, and other global OEMs; and the recent acquisition of Arduino, adding a 30-million-strong developer community to the industrial IoT ecosystem. The cost structure is primarily driven by significant research and development expenditures supporting parallel chip architecture programs across mobile, automotive, IoT, and data center markets; sales and OEM support infrastructure for global design-win engagement; IP licensing administration and legal costs associated with the QTL segment; and capital-light foundry and supply chain procurement costs tied to QCT unit volumes.</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1772DA6B" w:rsidR="00222249" w:rsidRPr="001457EB" w:rsidRDefault="009A780C" w:rsidP="008E64CF">
      <w:pPr>
        <w:spacing w:after="0"/>
        <w:ind w:right="52"/>
        <w:rPr>
          <w:rFonts w:asciiTheme="majorBidi" w:hAnsiTheme="majorBidi" w:cstheme="majorBidi"/>
          <w:sz w:val="28"/>
        </w:rPr>
      </w:pPr>
      <w:permStart w:id="538801036" w:edGrp="everyone"/>
      <w:r w:rsidRPr="009A780C">
        <w:rPr>
          <w:rFonts w:asciiTheme="majorBidi" w:hAnsiTheme="majorBidi" w:cstheme="majorBidi"/>
          <w:sz w:val="28"/>
        </w:rPr>
        <w:t>https://investor.qualcomm.com/financial-info-sec-filings/sec-filings/default.aspx</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www.qualcomm.com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https://investor.qualcomm.com/financial-information</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https://investor.qualcomm.com/news-events/investor-events/default.aspx</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lastRenderedPageBreak/>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lastRenderedPageBreak/>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E48D" w14:textId="77777777" w:rsidR="00D334D1" w:rsidRDefault="00D334D1" w:rsidP="00105AC2">
      <w:pPr>
        <w:spacing w:after="0" w:line="240" w:lineRule="auto"/>
      </w:pPr>
      <w:r>
        <w:separator/>
      </w:r>
    </w:p>
  </w:endnote>
  <w:endnote w:type="continuationSeparator" w:id="0">
    <w:p w14:paraId="321F4FA4" w14:textId="77777777" w:rsidR="00D334D1" w:rsidRDefault="00D334D1" w:rsidP="00105AC2">
      <w:pPr>
        <w:spacing w:after="0" w:line="240" w:lineRule="auto"/>
      </w:pPr>
      <w:r>
        <w:continuationSeparator/>
      </w:r>
    </w:p>
  </w:endnote>
  <w:endnote w:type="continuationNotice" w:id="1">
    <w:p w14:paraId="6F6F532B" w14:textId="77777777" w:rsidR="00D334D1" w:rsidRDefault="00D334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A5A9D" w14:textId="77777777" w:rsidR="00D334D1" w:rsidRDefault="00D334D1" w:rsidP="00105AC2">
      <w:pPr>
        <w:spacing w:after="0" w:line="240" w:lineRule="auto"/>
      </w:pPr>
      <w:r>
        <w:separator/>
      </w:r>
    </w:p>
  </w:footnote>
  <w:footnote w:type="continuationSeparator" w:id="0">
    <w:p w14:paraId="0F8FCE38" w14:textId="77777777" w:rsidR="00D334D1" w:rsidRDefault="00D334D1" w:rsidP="00105AC2">
      <w:pPr>
        <w:spacing w:after="0" w:line="240" w:lineRule="auto"/>
      </w:pPr>
      <w:r>
        <w:continuationSeparator/>
      </w:r>
    </w:p>
  </w:footnote>
  <w:footnote w:type="continuationNotice" w:id="1">
    <w:p w14:paraId="28750081" w14:textId="77777777" w:rsidR="00D334D1" w:rsidRDefault="00D334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5"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0B0E47B8"/>
    <w:multiLevelType w:val="multilevel"/>
    <w:tmpl w:val="3E2C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DE2D0C"/>
    <w:multiLevelType w:val="multilevel"/>
    <w:tmpl w:val="C2AA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062D6"/>
    <w:multiLevelType w:val="multilevel"/>
    <w:tmpl w:val="CC6C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53426E5"/>
    <w:multiLevelType w:val="multilevel"/>
    <w:tmpl w:val="9914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2E5081"/>
    <w:multiLevelType w:val="multilevel"/>
    <w:tmpl w:val="310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693528637">
    <w:abstractNumId w:val="16"/>
  </w:num>
  <w:num w:numId="2" w16cid:durableId="825821194">
    <w:abstractNumId w:val="19"/>
  </w:num>
  <w:num w:numId="3" w16cid:durableId="1965501114">
    <w:abstractNumId w:val="13"/>
  </w:num>
  <w:num w:numId="4" w16cid:durableId="1945503132">
    <w:abstractNumId w:val="2"/>
  </w:num>
  <w:num w:numId="5" w16cid:durableId="1663240948">
    <w:abstractNumId w:val="10"/>
  </w:num>
  <w:num w:numId="6" w16cid:durableId="370806446">
    <w:abstractNumId w:val="24"/>
  </w:num>
  <w:num w:numId="7" w16cid:durableId="1203590367">
    <w:abstractNumId w:val="4"/>
  </w:num>
  <w:num w:numId="8" w16cid:durableId="1142890142">
    <w:abstractNumId w:val="25"/>
  </w:num>
  <w:num w:numId="9" w16cid:durableId="880676128">
    <w:abstractNumId w:val="5"/>
  </w:num>
  <w:num w:numId="10" w16cid:durableId="1442920486">
    <w:abstractNumId w:val="9"/>
  </w:num>
  <w:num w:numId="11" w16cid:durableId="500851078">
    <w:abstractNumId w:val="3"/>
  </w:num>
  <w:num w:numId="12" w16cid:durableId="1613052376">
    <w:abstractNumId w:val="18"/>
  </w:num>
  <w:num w:numId="13" w16cid:durableId="398141305">
    <w:abstractNumId w:val="21"/>
  </w:num>
  <w:num w:numId="14" w16cid:durableId="862473339">
    <w:abstractNumId w:val="1"/>
  </w:num>
  <w:num w:numId="15" w16cid:durableId="1865827204">
    <w:abstractNumId w:val="0"/>
  </w:num>
  <w:num w:numId="16" w16cid:durableId="1329792786">
    <w:abstractNumId w:val="8"/>
  </w:num>
  <w:num w:numId="17" w16cid:durableId="606083979">
    <w:abstractNumId w:val="11"/>
  </w:num>
  <w:num w:numId="18" w16cid:durableId="1608466967">
    <w:abstractNumId w:val="7"/>
  </w:num>
  <w:num w:numId="19" w16cid:durableId="793331870">
    <w:abstractNumId w:val="22"/>
  </w:num>
  <w:num w:numId="20" w16cid:durableId="1151167817">
    <w:abstractNumId w:val="12"/>
  </w:num>
  <w:num w:numId="21" w16cid:durableId="641161196">
    <w:abstractNumId w:val="20"/>
  </w:num>
  <w:num w:numId="22" w16cid:durableId="1563250833">
    <w:abstractNumId w:val="26"/>
  </w:num>
  <w:num w:numId="23" w16cid:durableId="185681989">
    <w:abstractNumId w:val="15"/>
  </w:num>
  <w:num w:numId="24" w16cid:durableId="52044412">
    <w:abstractNumId w:val="17"/>
  </w:num>
  <w:num w:numId="25" w16cid:durableId="43911273">
    <w:abstractNumId w:val="14"/>
  </w:num>
  <w:num w:numId="26" w16cid:durableId="1330214406">
    <w:abstractNumId w:val="23"/>
  </w:num>
  <w:num w:numId="27" w16cid:durableId="118498011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M2M3ZWM2MmUtMjIxNy00MzdjLWI3ZjctYTAwNWI4NzQ4NGU5XCIsXCJjNjhlZmJlMS0w"/>
    <w:docVar w:name="GVData0" w:val="YjU3LTQzZDAtODk0OS1mOGViODFlMmUxY2FcIixcImMxOWY1MmU4LTQ1ZjgtNDZiZS1iMjg5LWViMzU3ODhjNDc2MFwiLFwiYThjMmUwYzktNDMyYy00ZGY4LWI2YWItMzhjZjY1ZTQ0MTYxXCIsXCIyNGFhMTAwNi1lZjA1LTRmY2QtOGE1Zi0zYWRkYzQ4NTg0NGRc"/>
    <w:docVar w:name="GVData1" w:val="IixcIjNjNDIxMDcwLWYyNTItNDVlOS04OTUyLTY2OGM3N2Q5ZWVkYlwiLFwiNjRkMDMwOWUtODNiMS00YzQzLTliNWEtMjU2YWE3ZWRjNWMzXCIsXCJkZTVkNjIwMy1kNmQzLTQwYmYtOGIxNS0wZWZlOWRiNTc3ZGNcIixcIjEzNTZmNTUwLTEzOTgtNDhlZC1iMzdh"/>
    <w:docVar w:name="GVData2" w:val="LTlhMGI1ZTZiMjIzYlwiLFwiMzI0NDIwODMtMDg2OS00MmI1LTg4NDYtZWE3YmFlMWEwYzIzXCJdIiwid3JpdHRlbktleXMiOiJbXCJndmRvY2lkXCIsXCJDbGFzc2lmaWNhdGlvblwiLFwiQ3VzdG9tZXJOYW1lXCIsXCJGaWxlSWRcIixcIlVzZXJJZFwiLFwiVGFn"/>
    <w:docVar w:name="GVData3" w:val="RGF0ZVRpbWVcIixcIktUQlwiLFwiQ2xhc3NpZmljYXRpb25HdWlkXCJdIiwibm9PZkd2RGF0YUVudHJpZXMiOiI3IiwibGluZUlkIjoiMDJkMjNiOWEtNzBiMS00NjhjLWI4MmYtODA2N2UwYzQ5Yzdi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22T08:53:02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1BF"/>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1CE"/>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80C"/>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AE8"/>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34D1"/>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27C67"/>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611A"/>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9A780C"/>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9A780C"/>
    <w:rPr>
      <w:b/>
      <w:bCs/>
    </w:rPr>
  </w:style>
  <w:style w:type="character" w:styleId="UnresolvedMention">
    <w:name w:val="Unresolved Mention"/>
    <w:basedOn w:val="DefaultParagraphFont"/>
    <w:uiPriority w:val="99"/>
    <w:semiHidden/>
    <w:unhideWhenUsed/>
    <w:rsid w:val="009A7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32</TotalTime>
  <Pages>15</Pages>
  <Words>6814</Words>
  <Characters>35795</Characters>
  <Application>Microsoft Office Word</Application>
  <DocSecurity>8</DocSecurity>
  <Lines>460</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37945</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11</cp:revision>
  <cp:lastPrinted>2026-06-22T08:48:00Z</cp:lastPrinted>
  <dcterms:created xsi:type="dcterms:W3CDTF">2026-04-27T09:24:00Z</dcterms:created>
  <dcterms:modified xsi:type="dcterms:W3CDTF">2026-06-22T08:53:00Z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2569-06-22T08:53:02Z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eyJPUyI6IldpbmRvd3MiLCJkb2NJRCI6IjZlMjc0YWIzLTcyZDEtNGFjYi1hNzc5LWFlNzBlZWFhOGI0ZiIsImRvY1N0YXRlIjoie30iLCJwYXJlbnRMaW5lSWRzIjoiW1wiM2M3ZWM2MmUtMjIxNy00MzdjLWI3ZjctYTAwNWI4NzQ4NGU5XCIsXCJjNjhlZmJlMS0w</vt:lpwstr>
  </property>
  <property fmtid="{D5CDD505-2E9C-101B-9397-08002B2CF9AE}" pid="9" name="GVData0">
    <vt:lpwstr>YjU3LTQzZDAtODk0OS1mOGViODFlMmUxY2FcIixcImMxOWY1MmU4LTQ1ZjgtNDZiZS1iMjg5LWViMzU3ODhjNDc2MFwiLFwiYThjMmUwYzktNDMyYy00ZGY4LWI2YWItMzhjZjY1ZTQ0MTYxXCIsXCIyNGFhMTAwNi1lZjA1LTRmY2QtOGE1Zi0zYWRkYzQ4NTg0NGRc</vt:lpwstr>
  </property>
  <property fmtid="{D5CDD505-2E9C-101B-9397-08002B2CF9AE}" pid="10" name="GVData1">
    <vt:lpwstr>IixcIjNjNDIxMDcwLWYyNTItNDVlOS04OTUyLTY2OGM3N2Q5ZWVkYlwiLFwiNjRkMDMwOWUtODNiMS00YzQzLTliNWEtMjU2YWE3ZWRjNWMzXCIsXCJkZTVkNjIwMy1kNmQzLTQwYmYtOGIxNS0wZWZlOWRiNTc3ZGNcIixcIjEzNTZmNTUwLTEzOTgtNDhlZC1iMzdh</vt:lpwstr>
  </property>
  <property fmtid="{D5CDD505-2E9C-101B-9397-08002B2CF9AE}" pid="11" name="GVData2">
    <vt:lpwstr>LTlhMGI1ZTZiMjIzYlwiLFwiMzI0NDIwODMtMDg2OS00MmI1LTg4NDYtZWE3YmFlMWEwYzIzXCJdIiwid3JpdHRlbktleXMiOiJbXCJndmRvY2lkXCIsXCJDbGFzc2lmaWNhdGlvblwiLFwiQ3VzdG9tZXJOYW1lXCIsXCJGaWxlSWRcIixcIlVzZXJJZFwiLFwiVGFn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RGF0ZVRpbWVcIixcIktUQlwiLFwiQ2xhc3NpZmljYXRpb25HdWlkXCJdIiwibm9PZkd2RGF0YUVudHJpZXMiOiI3IiwibGluZUlkIjoiMDJkMjNiOWEtNzBiMS00NjhjLWI4MmYtODA2N2UwYzQ5YzdiIiwidGFnc2V0X2UxNjQwOWE3XzE3MDBfNDE1M185MDkwXzM5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