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FABRINET</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FABRINET</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6733910D"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021C59" w:rsidRPr="00021C59">
              <w:rPr>
                <w:rFonts w:asciiTheme="majorBidi" w:eastAsia="Calibri" w:hAnsiTheme="majorBidi" w:cstheme="majorBidi"/>
                <w:b/>
                <w:sz w:val="28"/>
                <w:cs/>
              </w:rPr>
              <w:fldChar w:fldCharType="begin"/>
            </w:r>
            <w:r w:rsidR="00021C59" w:rsidRPr="00021C59">
              <w:rPr>
                <w:rFonts w:asciiTheme="majorBidi" w:eastAsia="Calibri" w:hAnsiTheme="majorBidi" w:cstheme="majorBidi"/>
                <w:b/>
                <w:sz w:val="28"/>
                <w:cs/>
              </w:rPr>
              <w:instrText xml:space="preserve"> </w:instrText>
            </w:r>
            <w:r w:rsidR="00021C59" w:rsidRPr="00021C59">
              <w:rPr>
                <w:rFonts w:asciiTheme="majorBidi" w:eastAsia="Calibri" w:hAnsiTheme="majorBidi" w:cstheme="majorBidi"/>
                <w:b/>
                <w:sz w:val="28"/>
              </w:rPr>
              <w:instrText>MERGEFIELD Exchange_name</w:instrText>
            </w:r>
            <w:r w:rsidR="00021C59" w:rsidRPr="00021C59">
              <w:rPr>
                <w:rFonts w:asciiTheme="majorBidi" w:eastAsia="Calibri" w:hAnsiTheme="majorBidi" w:cstheme="majorBidi"/>
                <w:b/>
                <w:sz w:val="28"/>
                <w:cs/>
              </w:rPr>
              <w:instrText xml:space="preserve"> </w:instrText>
            </w:r>
            <w:r w:rsidR="00021C59" w:rsidRPr="00021C59">
              <w:rPr>
                <w:rFonts w:asciiTheme="majorBidi" w:eastAsia="Calibri" w:hAnsiTheme="majorBidi" w:cstheme="majorBidi"/>
                <w:b/>
                <w:sz w:val="28"/>
                <w:cs/>
              </w:rPr>
              <w:fldChar w:fldCharType="separate"/>
            </w:r>
            <w:r w:rsidR="00021C59" w:rsidRPr="00021C59">
              <w:rPr>
                <w:rFonts w:asciiTheme="majorBidi" w:eastAsia="Calibri" w:hAnsiTheme="majorBidi" w:cstheme="majorBidi"/>
                <w:b/>
                <w:noProof/>
                <w:sz w:val="28"/>
                <w:cs/>
              </w:rPr>
              <w:t>นิวยอร์ก (</w:t>
            </w:r>
            <w:r w:rsidR="00021C59" w:rsidRPr="00021C59">
              <w:rPr>
                <w:rFonts w:asciiTheme="majorBidi" w:eastAsia="Calibri" w:hAnsiTheme="majorBidi" w:cstheme="majorBidi"/>
                <w:bCs/>
                <w:noProof/>
                <w:sz w:val="28"/>
              </w:rPr>
              <w:t>NYSE</w:t>
            </w:r>
            <w:r w:rsidR="00021C59" w:rsidRPr="00021C59">
              <w:rPr>
                <w:rFonts w:asciiTheme="majorBidi" w:eastAsia="Calibri" w:hAnsiTheme="majorBidi" w:cstheme="majorBidi"/>
                <w:b/>
                <w:noProof/>
                <w:sz w:val="28"/>
                <w:cs/>
              </w:rPr>
              <w:t>)</w:t>
            </w:r>
            <w:r w:rsidR="00021C59" w:rsidRPr="00021C59">
              <w:rPr>
                <w:rFonts w:asciiTheme="majorBidi" w:eastAsia="Calibri" w:hAnsiTheme="majorBidi" w:cstheme="majorBidi"/>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 ("FABRINET")</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579A2580"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FABRINET</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021C59" w:rsidRPr="00A65245">
              <w:rPr>
                <w:rFonts w:asciiTheme="majorBidi" w:eastAsia="Calibri" w:hAnsiTheme="majorBidi" w:cstheme="majorBidi"/>
                <w:bCs/>
                <w:sz w:val="28"/>
                <w:cs/>
              </w:rPr>
              <w:fldChar w:fldCharType="begin"/>
            </w:r>
            <w:r w:rsidR="00021C59" w:rsidRPr="00A65245">
              <w:rPr>
                <w:rFonts w:asciiTheme="majorBidi" w:eastAsia="Calibri" w:hAnsiTheme="majorBidi" w:cstheme="majorBidi"/>
                <w:bCs/>
                <w:sz w:val="28"/>
                <w:cs/>
              </w:rPr>
              <w:instrText xml:space="preserve"> </w:instrText>
            </w:r>
            <w:r w:rsidR="00021C59" w:rsidRPr="00A65245">
              <w:rPr>
                <w:rFonts w:asciiTheme="majorBidi" w:eastAsia="Calibri" w:hAnsiTheme="majorBidi" w:cstheme="majorBidi"/>
                <w:bCs/>
                <w:sz w:val="28"/>
              </w:rPr>
              <w:instrText>MERGEFIELD Exchange_name</w:instrText>
            </w:r>
            <w:r w:rsidR="00021C59" w:rsidRPr="00A65245">
              <w:rPr>
                <w:rFonts w:asciiTheme="majorBidi" w:eastAsia="Calibri" w:hAnsiTheme="majorBidi" w:cstheme="majorBidi"/>
                <w:bCs/>
                <w:sz w:val="28"/>
                <w:cs/>
              </w:rPr>
              <w:instrText xml:space="preserve"> </w:instrText>
            </w:r>
            <w:r w:rsidR="00021C59" w:rsidRPr="00A65245">
              <w:rPr>
                <w:rFonts w:asciiTheme="majorBidi" w:eastAsia="Calibri" w:hAnsiTheme="majorBidi" w:cstheme="majorBidi"/>
                <w:bCs/>
                <w:sz w:val="28"/>
                <w:cs/>
              </w:rPr>
              <w:fldChar w:fldCharType="separate"/>
            </w:r>
            <w:r w:rsidR="00021C59" w:rsidRPr="00021C59">
              <w:rPr>
                <w:rFonts w:asciiTheme="majorBidi" w:eastAsia="Calibri" w:hAnsiTheme="majorBidi" w:cstheme="majorBidi"/>
                <w:b/>
                <w:noProof/>
                <w:sz w:val="28"/>
                <w:cs/>
              </w:rPr>
              <w:t>นิวยอร์ก</w:t>
            </w:r>
            <w:r w:rsidR="00021C59" w:rsidRPr="00A65245">
              <w:rPr>
                <w:rFonts w:asciiTheme="majorBidi" w:eastAsia="Calibri" w:hAnsiTheme="majorBidi" w:cstheme="majorBidi"/>
                <w:bCs/>
                <w:noProof/>
                <w:sz w:val="28"/>
                <w:cs/>
              </w:rPr>
              <w:t xml:space="preserve"> (</w:t>
            </w:r>
            <w:r w:rsidR="00021C59" w:rsidRPr="00A65245">
              <w:rPr>
                <w:rFonts w:asciiTheme="majorBidi" w:eastAsia="Calibri" w:hAnsiTheme="majorBidi" w:cstheme="majorBidi"/>
                <w:bCs/>
                <w:noProof/>
                <w:sz w:val="28"/>
              </w:rPr>
              <w:t>NYSE</w:t>
            </w:r>
            <w:r w:rsidR="00021C59" w:rsidRPr="00A65245">
              <w:rPr>
                <w:rFonts w:asciiTheme="majorBidi" w:eastAsia="Calibri" w:hAnsiTheme="majorBidi" w:cstheme="majorBidi"/>
                <w:bCs/>
                <w:noProof/>
                <w:sz w:val="28"/>
                <w:cs/>
              </w:rPr>
              <w:t>)</w:t>
            </w:r>
            <w:r w:rsidR="00021C59" w:rsidRPr="00A65245">
              <w:rPr>
                <w:rFonts w:asciiTheme="majorBidi" w:eastAsia="Calibri" w:hAnsiTheme="majorBidi" w:cstheme="majorBidi"/>
                <w:bCs/>
                <w:sz w:val="28"/>
                <w:cs/>
              </w:rPr>
              <w:fldChar w:fldCharType="end"/>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F</w:t>
            </w:r>
            <w:r w:rsidR="006E57B1">
              <w:rPr>
                <w:rFonts w:asciiTheme="majorBidi" w:hAnsiTheme="majorBidi" w:cs="Angsana New"/>
                <w:noProof/>
                <w:sz w:val="28"/>
              </w:rPr>
              <w:t>A</w:t>
            </w:r>
            <w:r w:rsidR="00A27AC1">
              <w:rPr>
                <w:rFonts w:asciiTheme="majorBidi" w:hAnsiTheme="majorBidi" w:cs="Angsana New"/>
                <w:noProof/>
                <w:sz w:val="28"/>
              </w:rPr>
              <w:t>BR</w:t>
            </w:r>
            <w:r w:rsidR="006E57B1">
              <w:rPr>
                <w:rFonts w:asciiTheme="majorBidi" w:hAnsiTheme="majorBidi" w:cs="Angsana New"/>
                <w:noProof/>
                <w:sz w:val="28"/>
              </w:rPr>
              <w:t>I</w:t>
            </w:r>
            <w:r w:rsidR="00A27AC1">
              <w:rPr>
                <w:rFonts w:asciiTheme="majorBidi" w:hAnsiTheme="majorBidi" w:cs="Angsana New"/>
                <w:noProof/>
                <w:sz w:val="28"/>
              </w:rPr>
              <w:t>NET80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49582006"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CD7033">
        <w:rPr>
          <w:rFonts w:asciiTheme="majorBidi" w:hAnsiTheme="majorBidi" w:cs="Angsana New"/>
          <w:b/>
          <w:bCs/>
          <w:noProof/>
          <w:sz w:val="28"/>
        </w:rPr>
        <w:t>6</w:t>
      </w:r>
      <w:r w:rsidR="00A27AC1">
        <w:rPr>
          <w:rFonts w:asciiTheme="majorBidi" w:hAnsiTheme="majorBidi" w:cs="Angsana New"/>
          <w:b/>
          <w:bCs/>
          <w:noProof/>
          <w:sz w:val="28"/>
        </w:rPr>
        <w:t>,000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4E9123A3"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F05B87">
        <w:rPr>
          <w:rFonts w:ascii="Angsana New" w:eastAsia="Times New Roman" w:hAnsi="Angsana New" w:cs="Angsana New" w:hint="cs"/>
          <w:sz w:val="28"/>
          <w:cs/>
        </w:rPr>
        <w:t xml:space="preserve">ไม่เกิน </w:t>
      </w:r>
      <w:r w:rsidR="00F05B87">
        <w:rPr>
          <w:rFonts w:ascii="Angsana New" w:eastAsia="Times New Roman" w:hAnsi="Angsana New" w:cs="Angsana New"/>
          <w:sz w:val="28"/>
        </w:rPr>
        <w:t xml:space="preserve">3,400 </w:t>
      </w:r>
      <w:r w:rsidR="00F05B87">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FABRINET</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190 Elgin Avenue, George Town</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Grand Cayman, Cayman Islands</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+66 2-524-9600</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https://fabrinet.com/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6B9A16F9"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021C59" w:rsidRPr="00A65245">
        <w:rPr>
          <w:rFonts w:asciiTheme="majorBidi" w:eastAsia="Calibri" w:hAnsiTheme="majorBidi" w:cstheme="majorBidi"/>
          <w:bCs/>
          <w:sz w:val="28"/>
          <w:cs/>
        </w:rPr>
        <w:fldChar w:fldCharType="begin"/>
      </w:r>
      <w:r w:rsidR="00021C59" w:rsidRPr="00A65245">
        <w:rPr>
          <w:rFonts w:asciiTheme="majorBidi" w:eastAsia="Calibri" w:hAnsiTheme="majorBidi" w:cstheme="majorBidi"/>
          <w:bCs/>
          <w:sz w:val="28"/>
          <w:cs/>
        </w:rPr>
        <w:instrText xml:space="preserve"> </w:instrText>
      </w:r>
      <w:r w:rsidR="00021C59" w:rsidRPr="00A65245">
        <w:rPr>
          <w:rFonts w:asciiTheme="majorBidi" w:eastAsia="Calibri" w:hAnsiTheme="majorBidi" w:cstheme="majorBidi"/>
          <w:bCs/>
          <w:sz w:val="28"/>
        </w:rPr>
        <w:instrText>MERGEFIELD Exchange_name</w:instrText>
      </w:r>
      <w:r w:rsidR="00021C59" w:rsidRPr="00A65245">
        <w:rPr>
          <w:rFonts w:asciiTheme="majorBidi" w:eastAsia="Calibri" w:hAnsiTheme="majorBidi" w:cstheme="majorBidi"/>
          <w:bCs/>
          <w:sz w:val="28"/>
          <w:cs/>
        </w:rPr>
        <w:instrText xml:space="preserve"> </w:instrText>
      </w:r>
      <w:r w:rsidR="00021C59" w:rsidRPr="00A65245">
        <w:rPr>
          <w:rFonts w:asciiTheme="majorBidi" w:eastAsia="Calibri" w:hAnsiTheme="majorBidi" w:cstheme="majorBidi"/>
          <w:bCs/>
          <w:sz w:val="28"/>
          <w:cs/>
        </w:rPr>
        <w:fldChar w:fldCharType="separate"/>
      </w:r>
      <w:r w:rsidR="00021C59" w:rsidRPr="00021C59">
        <w:rPr>
          <w:rFonts w:asciiTheme="majorBidi" w:eastAsia="Calibri" w:hAnsiTheme="majorBidi" w:cstheme="majorBidi"/>
          <w:b/>
          <w:noProof/>
          <w:sz w:val="28"/>
          <w:cs/>
        </w:rPr>
        <w:t>นิวยอร์ก</w:t>
      </w:r>
      <w:r w:rsidR="00021C59" w:rsidRPr="00A65245">
        <w:rPr>
          <w:rFonts w:asciiTheme="majorBidi" w:eastAsia="Calibri" w:hAnsiTheme="majorBidi" w:cstheme="majorBidi"/>
          <w:bCs/>
          <w:noProof/>
          <w:sz w:val="28"/>
          <w:cs/>
        </w:rPr>
        <w:t xml:space="preserve"> (</w:t>
      </w:r>
      <w:r w:rsidR="00021C59" w:rsidRPr="00A65245">
        <w:rPr>
          <w:rFonts w:asciiTheme="majorBidi" w:eastAsia="Calibri" w:hAnsiTheme="majorBidi" w:cstheme="majorBidi"/>
          <w:bCs/>
          <w:noProof/>
          <w:sz w:val="28"/>
        </w:rPr>
        <w:t>NYSE</w:t>
      </w:r>
      <w:r w:rsidR="00021C59" w:rsidRPr="00A65245">
        <w:rPr>
          <w:rFonts w:asciiTheme="majorBidi" w:eastAsia="Calibri" w:hAnsiTheme="majorBidi" w:cstheme="majorBidi"/>
          <w:bCs/>
          <w:noProof/>
          <w:sz w:val="28"/>
          <w:cs/>
        </w:rPr>
        <w:t>)</w:t>
      </w:r>
      <w:r w:rsidR="00021C59" w:rsidRPr="00A65245">
        <w:rPr>
          <w:rFonts w:asciiTheme="majorBidi" w:eastAsia="Calibri" w:hAnsiTheme="majorBidi" w:cstheme="majorBidi"/>
          <w:bCs/>
          <w:sz w:val="28"/>
          <w:cs/>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 w14:paraId="443EDD34" w14:textId="23DB1B50" w:rsidR="00C22C2D" w:rsidRPr="00BD7623" w:rsidRDefault="00021C59" w:rsidP="00281EEF">
      <w:pPr>
        <w:tabs>
          <w:tab w:val="left" w:pos="1440"/>
          <w:tab w:val="left" w:pos="1800"/>
          <w:tab w:val="left" w:pos="3600"/>
          <w:tab w:val="left" w:pos="3960"/>
        </w:tabs>
        <w:spacing w:after="0"/>
        <w:rPr>
          <w:rFonts w:asciiTheme="majorBidi" w:hAnsiTheme="majorBidi" w:cstheme="majorBidi"/>
          <w:bCs/>
          <w:sz w:val="28"/>
        </w:rPr>
      </w:pPr>
      <w:permStart w:id="1390619182" w:edGrp="everyone"/>
      <w:r w:rsidRPr="00021C59">
        <w:rPr>
          <w:rFonts w:asciiTheme="majorBidi" w:hAnsiTheme="majorBidi" w:cstheme="majorBidi"/>
          <w:bCs/>
          <w:sz w:val="28"/>
        </w:rPr>
        <w:t>https://www.nyse.com/quote/XNYS:FN</w:t>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55202C89" w14:textId="4E597326" w:rsidR="001E04E3" w:rsidRP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Overview</w:t>
      </w:r>
    </w:p>
    <w:p w14:paraId="719B8161" w14:textId="08238133"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Fabrinet is the leading precision outsourced manufacturing platform for the global optical communications and advanced technology markets. Founded in 1999 and incorporated in the Cayman Islands, with principal operations anchored in </w:t>
      </w:r>
      <w:proofErr w:type="spellStart"/>
      <w:r w:rsidRPr="001E04E3">
        <w:rPr>
          <w:rFonts w:asciiTheme="majorBidi" w:hAnsiTheme="majorBidi" w:cstheme="majorBidi"/>
          <w:sz w:val="28"/>
          <w:szCs w:val="28"/>
        </w:rPr>
        <w:t>Pathumthani</w:t>
      </w:r>
      <w:proofErr w:type="spellEnd"/>
      <w:r w:rsidRPr="001E04E3">
        <w:rPr>
          <w:rFonts w:asciiTheme="majorBidi" w:hAnsiTheme="majorBidi" w:cstheme="majorBidi"/>
          <w:sz w:val="28"/>
          <w:szCs w:val="28"/>
        </w:rPr>
        <w:t>, Thailand, the company operates at the intersection of complex optics, electro-mechanical engineering, and high-volume production execution. Rather than competing across the broad electronics manufacturing services (EMS) landscape, Fabrinet has deliberately concentrated its capabilities on products requiring sub-micron alignment tolerances, ISO-class cleanroom environments, and rigorous test and quality systems — a positioning that makes it the manufacturing backbone for many of the world's most demanding original equipment manufacturers across optical networking, AI infrastructure, automotive, and industrial applications. In fiscal year 2025, the company generated record annual revenue of approximately $3.4 billion, representing 19% year-over-year growth.</w:t>
      </w:r>
    </w:p>
    <w:p w14:paraId="526D6035" w14:textId="4910AF97"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lastRenderedPageBreak/>
        <w:t>Principal Business Operations</w:t>
      </w:r>
    </w:p>
    <w:p w14:paraId="75BF65EA" w14:textId="1CADCBBA"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The operations are organized across two primary product segments:</w:t>
      </w:r>
    </w:p>
    <w:p w14:paraId="4AB5AFA1" w14:textId="4C4C0D79" w:rsidR="001E04E3" w:rsidRPr="001E04E3" w:rsidRDefault="001E04E3" w:rsidP="001E04E3">
      <w:pPr>
        <w:pStyle w:val="font-claude-response-body"/>
        <w:numPr>
          <w:ilvl w:val="0"/>
          <w:numId w:val="23"/>
        </w:numPr>
        <w:jc w:val="both"/>
        <w:rPr>
          <w:rFonts w:asciiTheme="majorBidi" w:hAnsiTheme="majorBidi" w:cstheme="majorBidi"/>
          <w:sz w:val="28"/>
          <w:szCs w:val="28"/>
        </w:rPr>
      </w:pPr>
      <w:r w:rsidRPr="001E04E3">
        <w:rPr>
          <w:rFonts w:asciiTheme="majorBidi" w:hAnsiTheme="majorBidi" w:cstheme="majorBidi"/>
          <w:sz w:val="28"/>
          <w:szCs w:val="28"/>
        </w:rPr>
        <w:t xml:space="preserve">Optical Communications Segment: The core and historically largest revenue driver, encompassing the design-in, manufacture, advanced packaging, integration, and final assembly and test of optical transceiver modules, reconfigurable optical add-drop multiplexers (ROADMs), amplifiers, modulators, wavelength-selective switches, and coherent optical subsystems. Demand is driven by high-data-rate datacom products supporting hyperscale data center interconnect and the build-out of AI networking infrastructure, as well as telecom-grade datacenter interconnect products. The company has captured leading share in 800G transceiver production. </w:t>
      </w:r>
    </w:p>
    <w:p w14:paraId="371F8370" w14:textId="12D8923D" w:rsidR="001E04E3" w:rsidRPr="001E04E3" w:rsidRDefault="001E04E3" w:rsidP="001E04E3">
      <w:pPr>
        <w:pStyle w:val="font-claude-response-body"/>
        <w:numPr>
          <w:ilvl w:val="0"/>
          <w:numId w:val="23"/>
        </w:numPr>
        <w:jc w:val="both"/>
        <w:rPr>
          <w:rFonts w:asciiTheme="majorBidi" w:hAnsiTheme="majorBidi" w:cstheme="majorBidi"/>
          <w:sz w:val="28"/>
          <w:szCs w:val="28"/>
        </w:rPr>
      </w:pPr>
      <w:r w:rsidRPr="001E04E3">
        <w:rPr>
          <w:rFonts w:asciiTheme="majorBidi" w:hAnsiTheme="majorBidi" w:cstheme="majorBidi"/>
          <w:sz w:val="28"/>
          <w:szCs w:val="28"/>
        </w:rPr>
        <w:t xml:space="preserve">Advanced Industrial, Automotive, and Other Segment: Encompasses precision manufacturing for industrial lasers, LiDAR sensors, automotive electronics, medical devices, and semiconductor processing equipment. End markets include biotechnology, metrology, semiconductor processing, and automotive applications requiring equivalent levels of manufacturing precision and quality assurance. </w:t>
      </w:r>
    </w:p>
    <w:p w14:paraId="6A92D842" w14:textId="1E7F4075"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Supply Chain and Infrastructure</w:t>
      </w:r>
    </w:p>
    <w:p w14:paraId="4F023242" w14:textId="6BDF24C7"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Fabrinet's manufacturing footprint is anchored at its Pinehurst and Chonburi campuses in Thailand, which together produce over 50% of volumes for key optical product lines. The company maintains ISO-class cleanrooms and process controls to support devices with </w:t>
      </w:r>
      <w:proofErr w:type="gramStart"/>
      <w:r w:rsidRPr="001E04E3">
        <w:rPr>
          <w:rFonts w:asciiTheme="majorBidi" w:hAnsiTheme="majorBidi" w:cstheme="majorBidi"/>
          <w:sz w:val="28"/>
          <w:szCs w:val="28"/>
        </w:rPr>
        <w:t>micron</w:t>
      </w:r>
      <w:proofErr w:type="gramEnd"/>
      <w:r w:rsidRPr="001E04E3">
        <w:rPr>
          <w:rFonts w:asciiTheme="majorBidi" w:hAnsiTheme="majorBidi" w:cstheme="majorBidi"/>
          <w:sz w:val="28"/>
          <w:szCs w:val="28"/>
        </w:rPr>
        <w:t xml:space="preserve">-level alignment tolerances and offers engineering-for-manufacturing (EFM) and design-for-test (DFT) services that shorten OEM development cycles. Complementary operations are maintained in the United States, the People's Republic of China, and Israel, enabling Fabrinet to support customer engineering and qualification workflows globally. In 2025, the company completed the ramp-up of Building 9 in Thailand, adding large-scale capacity to serve the surge in AI hardware and optical networking demand, and maintained a debt-free balance sheet with cash exceeding $800 million. </w:t>
      </w:r>
    </w:p>
    <w:p w14:paraId="56D0B011" w14:textId="1EFF557E"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Strategy and Future Prospects</w:t>
      </w:r>
    </w:p>
    <w:p w14:paraId="224EEE43" w14:textId="5C0C16B9"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The strategy is built on sustaining a highly defensible niche manufacturing position while capitalizing on secular growth in AI-driven optical infrastructure. Key strategic pillars include:</w:t>
      </w:r>
    </w:p>
    <w:p w14:paraId="4917437A" w14:textId="77777777"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t>AI Infrastructure Capture: Positioning Fabrinet as the preferred manufacturing partner for 800G and next-generation 1.6T optical transceiver programs serving hyperscale AI cluster interconnects, leveraging existing deep customer relationships and capacity expansion.</w:t>
      </w:r>
    </w:p>
    <w:p w14:paraId="1C846F92" w14:textId="2B259684"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t xml:space="preserve">China+1 Diversification: Operating Thailand as a geopolitically attractive manufacturing alternative for Western OEMs seeking supply-chain diversification away from China, a structural tailwind as customers </w:t>
      </w:r>
      <w:proofErr w:type="gramStart"/>
      <w:r w:rsidRPr="001E04E3">
        <w:rPr>
          <w:rFonts w:asciiTheme="majorBidi" w:hAnsiTheme="majorBidi" w:cstheme="majorBidi"/>
          <w:sz w:val="28"/>
          <w:szCs w:val="28"/>
        </w:rPr>
        <w:t>re-evaluate</w:t>
      </w:r>
      <w:proofErr w:type="gramEnd"/>
      <w:r w:rsidRPr="001E04E3">
        <w:rPr>
          <w:rFonts w:asciiTheme="majorBidi" w:hAnsiTheme="majorBidi" w:cstheme="majorBidi"/>
          <w:sz w:val="28"/>
          <w:szCs w:val="28"/>
        </w:rPr>
        <w:t xml:space="preserve"> concentrated Asia exposure. </w:t>
      </w:r>
    </w:p>
    <w:p w14:paraId="1FB8FC1F" w14:textId="77777777"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t>Program Stickiness and Share Expansion: Continuously winning new systems-level programs — including optical systems and advanced assemblies — to expand revenue per customer and deepen switching costs beyond component-level manufacturing.</w:t>
      </w:r>
    </w:p>
    <w:p w14:paraId="16AD0110" w14:textId="77777777" w:rsidR="001E04E3" w:rsidRPr="001E04E3" w:rsidRDefault="001E04E3" w:rsidP="001E04E3">
      <w:pPr>
        <w:pStyle w:val="font-claude-response-body"/>
        <w:numPr>
          <w:ilvl w:val="0"/>
          <w:numId w:val="24"/>
        </w:numPr>
        <w:jc w:val="both"/>
        <w:rPr>
          <w:rFonts w:asciiTheme="majorBidi" w:hAnsiTheme="majorBidi" w:cstheme="majorBidi"/>
          <w:sz w:val="28"/>
          <w:szCs w:val="28"/>
        </w:rPr>
      </w:pPr>
      <w:r w:rsidRPr="001E04E3">
        <w:rPr>
          <w:rFonts w:asciiTheme="majorBidi" w:hAnsiTheme="majorBidi" w:cstheme="majorBidi"/>
          <w:sz w:val="28"/>
          <w:szCs w:val="28"/>
        </w:rPr>
        <w:lastRenderedPageBreak/>
        <w:t>Advanced Segment Recovery: Navigating the recovery cycle in industrial lasers, automotive electronics, and sensing end markets that experienced inventory correction headwinds in fiscal years 2023 and 2024.</w:t>
      </w:r>
    </w:p>
    <w:p w14:paraId="533890A2" w14:textId="3C118838"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Value Propositions</w:t>
      </w:r>
    </w:p>
    <w:p w14:paraId="060E8773" w14:textId="125B4A28"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Fabrinet aligns its value with the precision, reliability, and scale of execution that technology OEMs require but cannot cost-effectively replicate in-house. For optical communications customers, it delivers sub-micron alignment accuracy, cleanroom manufacturing at volume, and rapid yield ramps that reduce time-to-market for new transceiver generations. For advanced industrial and automotive OEMs, it provides rigorous quality management and process engineering expertise at a cost structure that outcompetes internal manufacturing. Its Thailand-centered operating base supports efficiency and labor access, while the company's combination of complex-manufacturing capability with disciplined supply-chain execution enables it to win programs where precision and quality systems matter more than simply quoting the lowest labor rate. </w:t>
      </w:r>
    </w:p>
    <w:p w14:paraId="29D6F960" w14:textId="3729B35D"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Customer Segments</w:t>
      </w:r>
    </w:p>
    <w:p w14:paraId="766F08F0" w14:textId="4588BD67"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Fabrinet serves a concentrated base of high-value global technology OEMs:</w:t>
      </w:r>
    </w:p>
    <w:p w14:paraId="1CB6C7F1"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 xml:space="preserve">Optical Networking OEMs: Leading suppliers of transceivers, coherent optical modules, and networking subsystems serving hyperscale data center and telecommunications infrastructure markets, including customers such as Coherent Corp., II-VI, </w:t>
      </w:r>
      <w:proofErr w:type="spellStart"/>
      <w:r w:rsidRPr="001E04E3">
        <w:rPr>
          <w:rFonts w:asciiTheme="majorBidi" w:hAnsiTheme="majorBidi" w:cstheme="majorBidi"/>
          <w:sz w:val="28"/>
          <w:szCs w:val="28"/>
        </w:rPr>
        <w:t>Lumentum</w:t>
      </w:r>
      <w:proofErr w:type="spellEnd"/>
      <w:r w:rsidRPr="001E04E3">
        <w:rPr>
          <w:rFonts w:asciiTheme="majorBidi" w:hAnsiTheme="majorBidi" w:cstheme="majorBidi"/>
          <w:sz w:val="28"/>
          <w:szCs w:val="28"/>
        </w:rPr>
        <w:t>, and Viavi Solutions.</w:t>
      </w:r>
    </w:p>
    <w:p w14:paraId="2B2119A1"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Hyperscale and AI Infrastructure Players: Data center operators and AI hardware vendors driving demand for high-data-rate optical interconnects in next-generation AI training and inference clusters.</w:t>
      </w:r>
    </w:p>
    <w:p w14:paraId="2FE10E5B"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Industrial Laser and Sensing Manufacturers: OEMs producing precision laser systems for materials processing, semiconductor lithography, medical diagnostics, and automotive LiDAR applications.</w:t>
      </w:r>
    </w:p>
    <w:p w14:paraId="67F07CDE" w14:textId="77777777" w:rsidR="001E04E3" w:rsidRPr="001E04E3" w:rsidRDefault="001E04E3" w:rsidP="001E04E3">
      <w:pPr>
        <w:pStyle w:val="font-claude-response-body"/>
        <w:numPr>
          <w:ilvl w:val="0"/>
          <w:numId w:val="25"/>
        </w:numPr>
        <w:jc w:val="both"/>
        <w:rPr>
          <w:rFonts w:asciiTheme="majorBidi" w:hAnsiTheme="majorBidi" w:cstheme="majorBidi"/>
          <w:sz w:val="28"/>
          <w:szCs w:val="28"/>
        </w:rPr>
      </w:pPr>
      <w:r w:rsidRPr="001E04E3">
        <w:rPr>
          <w:rFonts w:asciiTheme="majorBidi" w:hAnsiTheme="majorBidi" w:cstheme="majorBidi"/>
          <w:sz w:val="28"/>
          <w:szCs w:val="28"/>
        </w:rPr>
        <w:t>Automotive Electronics OEMs: Manufacturers of advanced driver assistance systems (ADAS) components and electromechanical assemblies requiring automotive-grade quality standards.</w:t>
      </w:r>
    </w:p>
    <w:p w14:paraId="18D58947" w14:textId="5300173F"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Customer Relationships</w:t>
      </w:r>
    </w:p>
    <w:p w14:paraId="0FF33940" w14:textId="12F33F71"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Fabrinet's recipe for winning is to combine complex-manufacturing capability with a cost-advantaged operating base and high execution reliability, targeting programs where precision optical alignment, quality systems, test capability, and disciplined supply-chain execution are the primary selection criteria. Relationships are cultivated through deep co-engineering engagements at the process design and qualification stage, creating high switching costs once a program enters volume production. Fabrinet localizes engineering and sales support near customer R&amp;D hubs to streamline design-in phases and maintain close customer collaboration. Long-term supply agreements and multi-year program wins provide revenue visibility and reinforce the structural stickiness of the model. </w:t>
      </w:r>
    </w:p>
    <w:p w14:paraId="67E7D16B" w14:textId="4359DC39"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Channels</w:t>
      </w:r>
    </w:p>
    <w:p w14:paraId="00E8159C" w14:textId="4A776DBE"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lastRenderedPageBreak/>
        <w:t xml:space="preserve">Revenue is generated through a direct enterprise sales model structured around named account management teams embedded within or adjacent to customer engineering organizations. Formal RFQ and qualification processes govern program wins, with volume production awarded through bilateral supply agreements following successful process qualification and yield validation. North America </w:t>
      </w:r>
      <w:proofErr w:type="gramStart"/>
      <w:r w:rsidRPr="001E04E3">
        <w:rPr>
          <w:rFonts w:asciiTheme="majorBidi" w:hAnsiTheme="majorBidi" w:cstheme="majorBidi"/>
          <w:sz w:val="28"/>
          <w:szCs w:val="28"/>
        </w:rPr>
        <w:t>is</w:t>
      </w:r>
      <w:proofErr w:type="gramEnd"/>
      <w:r w:rsidRPr="001E04E3">
        <w:rPr>
          <w:rFonts w:asciiTheme="majorBidi" w:hAnsiTheme="majorBidi" w:cstheme="majorBidi"/>
          <w:sz w:val="28"/>
          <w:szCs w:val="28"/>
        </w:rPr>
        <w:t xml:space="preserve"> the largest billing geography, accounting for over 50% of sales, driven by </w:t>
      </w:r>
      <w:proofErr w:type="spellStart"/>
      <w:r w:rsidRPr="001E04E3">
        <w:rPr>
          <w:rFonts w:asciiTheme="majorBidi" w:hAnsiTheme="majorBidi" w:cstheme="majorBidi"/>
          <w:sz w:val="28"/>
          <w:szCs w:val="28"/>
        </w:rPr>
        <w:t>hyperscalers</w:t>
      </w:r>
      <w:proofErr w:type="spellEnd"/>
      <w:r w:rsidRPr="001E04E3">
        <w:rPr>
          <w:rFonts w:asciiTheme="majorBidi" w:hAnsiTheme="majorBidi" w:cstheme="majorBidi"/>
          <w:sz w:val="28"/>
          <w:szCs w:val="28"/>
        </w:rPr>
        <w:t xml:space="preserve"> and Silicon Valley-based OEMs. Asia-Pacific represents approximately 35% of revenue, supported by networking customers and automotive electronics companies in Japan and South Korea, with Europe accounting for the remainder.</w:t>
      </w:r>
    </w:p>
    <w:p w14:paraId="54669651" w14:textId="7EA1786A"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Revenue Streams</w:t>
      </w:r>
    </w:p>
    <w:p w14:paraId="6291AE7A" w14:textId="50728509" w:rsidR="001E04E3" w:rsidRPr="001E04E3" w:rsidRDefault="001E04E3" w:rsidP="001E04E3">
      <w:pPr>
        <w:pStyle w:val="font-claude-response-body"/>
        <w:ind w:firstLine="360"/>
        <w:jc w:val="both"/>
        <w:rPr>
          <w:rFonts w:asciiTheme="majorBidi" w:hAnsiTheme="majorBidi" w:cstheme="majorBidi"/>
          <w:sz w:val="28"/>
          <w:szCs w:val="28"/>
        </w:rPr>
      </w:pPr>
      <w:r w:rsidRPr="001E04E3">
        <w:rPr>
          <w:rFonts w:asciiTheme="majorBidi" w:hAnsiTheme="majorBidi" w:cstheme="majorBidi"/>
          <w:sz w:val="28"/>
          <w:szCs w:val="28"/>
        </w:rPr>
        <w:t xml:space="preserve">Revenue is driven almost entirely by manufacturing services fees billed on a cost-plus or negotiated unit-price basis, with product mix shifting toward </w:t>
      </w:r>
      <w:proofErr w:type="gramStart"/>
      <w:r w:rsidRPr="001E04E3">
        <w:rPr>
          <w:rFonts w:asciiTheme="majorBidi" w:hAnsiTheme="majorBidi" w:cstheme="majorBidi"/>
          <w:sz w:val="28"/>
          <w:szCs w:val="28"/>
        </w:rPr>
        <w:t>higher-complexity</w:t>
      </w:r>
      <w:proofErr w:type="gramEnd"/>
      <w:r w:rsidRPr="001E04E3">
        <w:rPr>
          <w:rFonts w:asciiTheme="majorBidi" w:hAnsiTheme="majorBidi" w:cstheme="majorBidi"/>
          <w:sz w:val="28"/>
          <w:szCs w:val="28"/>
        </w:rPr>
        <w:t>, higher-value-add assemblies over time:</w:t>
      </w:r>
    </w:p>
    <w:p w14:paraId="09DF6FFE" w14:textId="77777777" w:rsidR="001E04E3" w:rsidRPr="001E04E3" w:rsidRDefault="001E04E3" w:rsidP="001E04E3">
      <w:pPr>
        <w:pStyle w:val="font-claude-response-body"/>
        <w:numPr>
          <w:ilvl w:val="0"/>
          <w:numId w:val="26"/>
        </w:numPr>
        <w:jc w:val="both"/>
        <w:rPr>
          <w:rFonts w:asciiTheme="majorBidi" w:hAnsiTheme="majorBidi" w:cstheme="majorBidi"/>
          <w:sz w:val="28"/>
          <w:szCs w:val="28"/>
        </w:rPr>
      </w:pPr>
      <w:r w:rsidRPr="001E04E3">
        <w:rPr>
          <w:rFonts w:asciiTheme="majorBidi" w:hAnsiTheme="majorBidi" w:cstheme="majorBidi"/>
          <w:sz w:val="28"/>
          <w:szCs w:val="28"/>
        </w:rPr>
        <w:t>Optical Communications Revenue: The dominant revenue contributor, driven by transceiver modules, coherent subsystems, and switching components, with growth accelerating from AI-related datacenter interconnect demand and 800G platform ramps.</w:t>
      </w:r>
    </w:p>
    <w:p w14:paraId="5BD810E7" w14:textId="77777777" w:rsidR="001E04E3" w:rsidRPr="001E04E3" w:rsidRDefault="001E04E3" w:rsidP="001E04E3">
      <w:pPr>
        <w:pStyle w:val="font-claude-response-body"/>
        <w:numPr>
          <w:ilvl w:val="0"/>
          <w:numId w:val="26"/>
        </w:numPr>
        <w:jc w:val="both"/>
        <w:rPr>
          <w:rFonts w:asciiTheme="majorBidi" w:hAnsiTheme="majorBidi" w:cstheme="majorBidi"/>
          <w:sz w:val="28"/>
          <w:szCs w:val="28"/>
        </w:rPr>
      </w:pPr>
      <w:r w:rsidRPr="001E04E3">
        <w:rPr>
          <w:rFonts w:asciiTheme="majorBidi" w:hAnsiTheme="majorBidi" w:cstheme="majorBidi"/>
          <w:sz w:val="28"/>
          <w:szCs w:val="28"/>
        </w:rPr>
        <w:t>Advanced Industrial, Automotive, and Other Revenue: Derived from precision laser systems, automotive electronics, medical devices, and sensing components, with cyclical exposure to industrial capital expenditure and automotive production cycles.</w:t>
      </w:r>
    </w:p>
    <w:p w14:paraId="70361443" w14:textId="65B44972"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Key Activities and Resources</w:t>
      </w:r>
    </w:p>
    <w:p w14:paraId="0B0D5F83" w14:textId="6A699997" w:rsidR="001E04E3"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Core activities include precision optical assembly and alignment at scale; advanced circuit board assembly and integration; rigorous in-process and final test execution; supply chain management and component procurement; and continuous process engineering and yield improvement. Critical resources include proprietary cleanroom manufacturing infrastructure across Thailand campuses; a highly skilled workforce of over 16,000 employees with deep optical and electro-mechanical expertise; established ISO and automotive-grade quality management systems; and long-standing OEM customer relationships spanning multiple technology generations.</w:t>
      </w:r>
    </w:p>
    <w:p w14:paraId="793FFD53" w14:textId="26E64173" w:rsidR="001E04E3" w:rsidRDefault="001E04E3" w:rsidP="001E04E3">
      <w:pPr>
        <w:pStyle w:val="font-claude-response-body"/>
        <w:jc w:val="both"/>
        <w:rPr>
          <w:rFonts w:asciiTheme="majorBidi" w:hAnsiTheme="majorBidi" w:cstheme="majorBidi"/>
          <w:sz w:val="28"/>
          <w:szCs w:val="28"/>
        </w:rPr>
      </w:pPr>
      <w:r w:rsidRPr="001E04E3">
        <w:rPr>
          <w:rStyle w:val="Strong"/>
          <w:rFonts w:asciiTheme="majorBidi" w:hAnsiTheme="majorBidi" w:cstheme="majorBidi"/>
          <w:sz w:val="28"/>
          <w:szCs w:val="28"/>
        </w:rPr>
        <w:t>Key Partnerships and Cost Structure</w:t>
      </w:r>
    </w:p>
    <w:p w14:paraId="205429C1" w14:textId="00BD4D02" w:rsidR="008D2571" w:rsidRPr="001E04E3" w:rsidRDefault="001E04E3" w:rsidP="001E04E3">
      <w:pPr>
        <w:pStyle w:val="font-claude-response-body"/>
        <w:ind w:firstLine="720"/>
        <w:jc w:val="both"/>
        <w:rPr>
          <w:rFonts w:asciiTheme="majorBidi" w:hAnsiTheme="majorBidi" w:cstheme="majorBidi"/>
          <w:sz w:val="28"/>
          <w:szCs w:val="28"/>
        </w:rPr>
      </w:pPr>
      <w:r w:rsidRPr="001E04E3">
        <w:rPr>
          <w:rFonts w:asciiTheme="majorBidi" w:hAnsiTheme="majorBidi" w:cstheme="majorBidi"/>
          <w:sz w:val="28"/>
          <w:szCs w:val="28"/>
        </w:rPr>
        <w:t xml:space="preserve">Deep partnerships with </w:t>
      </w:r>
      <w:proofErr w:type="spellStart"/>
      <w:r w:rsidRPr="001E04E3">
        <w:rPr>
          <w:rFonts w:asciiTheme="majorBidi" w:hAnsiTheme="majorBidi" w:cstheme="majorBidi"/>
          <w:sz w:val="28"/>
          <w:szCs w:val="28"/>
        </w:rPr>
        <w:t>hyperscalers</w:t>
      </w:r>
      <w:proofErr w:type="spellEnd"/>
      <w:r w:rsidRPr="001E04E3">
        <w:rPr>
          <w:rFonts w:asciiTheme="majorBidi" w:hAnsiTheme="majorBidi" w:cstheme="majorBidi"/>
          <w:sz w:val="28"/>
          <w:szCs w:val="28"/>
        </w:rPr>
        <w:t xml:space="preserve"> and major data center operators have translated into recurring, high-volume contracts and elevated switching costs, with NVIDIA and leading AI infrastructure builders among the key demand drivers. Component supply relationships with optical </w:t>
      </w:r>
      <w:proofErr w:type="gramStart"/>
      <w:r w:rsidRPr="001E04E3">
        <w:rPr>
          <w:rFonts w:asciiTheme="majorBidi" w:hAnsiTheme="majorBidi" w:cstheme="majorBidi"/>
          <w:sz w:val="28"/>
          <w:szCs w:val="28"/>
        </w:rPr>
        <w:t>chip</w:t>
      </w:r>
      <w:proofErr w:type="gramEnd"/>
      <w:r w:rsidRPr="001E04E3">
        <w:rPr>
          <w:rFonts w:asciiTheme="majorBidi" w:hAnsiTheme="majorBidi" w:cstheme="majorBidi"/>
          <w:sz w:val="28"/>
          <w:szCs w:val="28"/>
        </w:rPr>
        <w:t xml:space="preserve">, photonics, and passive component vendors are strategically managed to ensure supply continuity for high-complexity programs. The cost structure is primarily driven by direct materials (the dominant cost element, consistent with a manufacturing services model); direct labor and cleanroom facility operating costs at Thai campuses; engineering and process development expenses for new program qualifications; and capital expenditure for manufacturing equipment and capacity expansion. The company's Thailand-centric footprint and lean overhead model underpin superior cost efficiency relative to higher-wage manufacturing geographies. </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lastRenderedPageBreak/>
        <w:t>แหล่งที่มาของข้อมูล</w:t>
      </w:r>
    </w:p>
    <w:p w14:paraId="1DD5D720" w14:textId="4492BEF8" w:rsidR="00222249" w:rsidRPr="001457EB" w:rsidRDefault="00966D67" w:rsidP="008E64CF">
      <w:pPr>
        <w:spacing w:after="0"/>
        <w:ind w:right="52"/>
        <w:rPr>
          <w:rFonts w:asciiTheme="majorBidi" w:hAnsiTheme="majorBidi" w:cstheme="majorBidi"/>
          <w:sz w:val="28"/>
        </w:rPr>
      </w:pPr>
      <w:permStart w:id="538801036" w:edGrp="everyone"/>
      <w:r w:rsidRPr="00966D67">
        <w:rPr>
          <w:rFonts w:asciiTheme="majorBidi" w:hAnsiTheme="majorBidi" w:cstheme="majorBidi"/>
          <w:sz w:val="28"/>
        </w:rPr>
        <w:t>https://investor.fabrinet.com/financial-information/sec-filings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https://fabrinet.com/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https://investor.fabrinet.com/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https://investor.fabrinet.com/press-releases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4164536F"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104EDD" w:rsidRPr="00A65245">
              <w:rPr>
                <w:rFonts w:asciiTheme="majorBidi" w:eastAsia="Calibri" w:hAnsiTheme="majorBidi" w:cstheme="majorBidi"/>
                <w:bCs/>
                <w:sz w:val="28"/>
                <w:cs/>
              </w:rPr>
              <w:fldChar w:fldCharType="begin"/>
            </w:r>
            <w:r w:rsidR="00104EDD" w:rsidRPr="00A65245">
              <w:rPr>
                <w:rFonts w:asciiTheme="majorBidi" w:eastAsia="Calibri" w:hAnsiTheme="majorBidi" w:cstheme="majorBidi"/>
                <w:bCs/>
                <w:sz w:val="28"/>
                <w:cs/>
              </w:rPr>
              <w:instrText xml:space="preserve"> </w:instrText>
            </w:r>
            <w:r w:rsidR="00104EDD" w:rsidRPr="00A65245">
              <w:rPr>
                <w:rFonts w:asciiTheme="majorBidi" w:eastAsia="Calibri" w:hAnsiTheme="majorBidi" w:cstheme="majorBidi"/>
                <w:bCs/>
                <w:sz w:val="28"/>
              </w:rPr>
              <w:instrText>MERGEFIELD Exchange_name</w:instrText>
            </w:r>
            <w:r w:rsidR="00104EDD" w:rsidRPr="00A65245">
              <w:rPr>
                <w:rFonts w:asciiTheme="majorBidi" w:eastAsia="Calibri" w:hAnsiTheme="majorBidi" w:cstheme="majorBidi"/>
                <w:bCs/>
                <w:sz w:val="28"/>
                <w:cs/>
              </w:rPr>
              <w:instrText xml:space="preserve"> </w:instrText>
            </w:r>
            <w:r w:rsidR="00104EDD" w:rsidRPr="00A65245">
              <w:rPr>
                <w:rFonts w:asciiTheme="majorBidi" w:eastAsia="Calibri" w:hAnsiTheme="majorBidi" w:cstheme="majorBidi"/>
                <w:bCs/>
                <w:sz w:val="28"/>
                <w:cs/>
              </w:rPr>
              <w:fldChar w:fldCharType="separate"/>
            </w:r>
            <w:r w:rsidR="00104EDD" w:rsidRPr="00A65245">
              <w:rPr>
                <w:rFonts w:asciiTheme="majorBidi" w:eastAsia="Calibri" w:hAnsiTheme="majorBidi" w:cstheme="majorBidi"/>
                <w:bCs/>
                <w:noProof/>
                <w:sz w:val="28"/>
                <w:cs/>
              </w:rPr>
              <w:t>นิวยอร์ก (</w:t>
            </w:r>
            <w:r w:rsidR="00104EDD" w:rsidRPr="00A65245">
              <w:rPr>
                <w:rFonts w:asciiTheme="majorBidi" w:eastAsia="Calibri" w:hAnsiTheme="majorBidi" w:cstheme="majorBidi"/>
                <w:bCs/>
                <w:noProof/>
                <w:sz w:val="28"/>
              </w:rPr>
              <w:t>NYSE</w:t>
            </w:r>
            <w:r w:rsidR="00104EDD" w:rsidRPr="00A65245">
              <w:rPr>
                <w:rFonts w:asciiTheme="majorBidi" w:eastAsia="Calibri" w:hAnsiTheme="majorBidi" w:cstheme="majorBidi"/>
                <w:bCs/>
                <w:noProof/>
                <w:sz w:val="28"/>
                <w:cs/>
              </w:rPr>
              <w:t>)</w:t>
            </w:r>
            <w:r w:rsidR="00104EDD" w:rsidRPr="00A65245">
              <w:rPr>
                <w:rFonts w:asciiTheme="majorBidi" w:eastAsia="Calibri" w:hAnsiTheme="majorBidi" w:cstheme="majorBidi"/>
                <w:bCs/>
                <w:sz w:val="28"/>
                <w:cs/>
              </w:rPr>
              <w:fldChar w:fldCharType="end"/>
            </w:r>
            <w:r w:rsidRPr="009A56FE">
              <w:rPr>
                <w:rFonts w:asciiTheme="majorBidi" w:hAnsiTheme="majorBidi" w:cstheme="majorBidi"/>
                <w:bCs/>
                <w:noProof/>
                <w:sz w:val="28"/>
                <w:cs/>
              </w:rPr>
              <w:t>:</w:t>
            </w:r>
          </w:p>
        </w:tc>
        <w:tc>
          <w:tcPr>
            <w:tcW w:w="4677" w:type="dxa"/>
            <w:vAlign w:val="center"/>
          </w:tcPr>
          <w:p w14:paraId="6EA59C39" w14:textId="28C4C84E" w:rsidR="00105ADD" w:rsidRPr="00A41A78" w:rsidRDefault="00104EDD" w:rsidP="0030612C">
            <w:pPr>
              <w:spacing w:after="0" w:line="240" w:lineRule="auto"/>
              <w:jc w:val="thaiDistribute"/>
              <w:rPr>
                <w:rFonts w:asciiTheme="majorBidi" w:hAnsiTheme="majorBidi" w:cstheme="majorBidi"/>
                <w:bCs/>
                <w:sz w:val="28"/>
                <w:cs/>
              </w:rPr>
            </w:pPr>
            <w:r w:rsidRPr="00104EDD">
              <w:rPr>
                <w:rFonts w:asciiTheme="majorBidi" w:hAnsiTheme="majorBidi" w:cs="Angsana New"/>
                <w:bCs/>
                <w:sz w:val="28"/>
              </w:rPr>
              <w:t>https://www.nyse.com/</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lastRenderedPageBreak/>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442B" w14:textId="77777777" w:rsidR="00C274FA" w:rsidRDefault="00C274FA" w:rsidP="00105AC2">
      <w:pPr>
        <w:spacing w:after="0" w:line="240" w:lineRule="auto"/>
      </w:pPr>
      <w:r>
        <w:separator/>
      </w:r>
    </w:p>
  </w:endnote>
  <w:endnote w:type="continuationSeparator" w:id="0">
    <w:p w14:paraId="31CA946D" w14:textId="77777777" w:rsidR="00C274FA" w:rsidRDefault="00C274FA" w:rsidP="00105AC2">
      <w:pPr>
        <w:spacing w:after="0" w:line="240" w:lineRule="auto"/>
      </w:pPr>
      <w:r>
        <w:continuationSeparator/>
      </w:r>
    </w:p>
  </w:endnote>
  <w:endnote w:type="continuationNotice" w:id="1">
    <w:p w14:paraId="5AADFC42" w14:textId="77777777" w:rsidR="00C274FA" w:rsidRDefault="00C274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0605B" w14:textId="77777777" w:rsidR="00C274FA" w:rsidRDefault="00C274FA" w:rsidP="00105AC2">
      <w:pPr>
        <w:spacing w:after="0" w:line="240" w:lineRule="auto"/>
      </w:pPr>
      <w:r>
        <w:separator/>
      </w:r>
    </w:p>
  </w:footnote>
  <w:footnote w:type="continuationSeparator" w:id="0">
    <w:p w14:paraId="100033DE" w14:textId="77777777" w:rsidR="00C274FA" w:rsidRDefault="00C274FA" w:rsidP="00105AC2">
      <w:pPr>
        <w:spacing w:after="0" w:line="240" w:lineRule="auto"/>
      </w:pPr>
      <w:r>
        <w:continuationSeparator/>
      </w:r>
    </w:p>
  </w:footnote>
  <w:footnote w:type="continuationNotice" w:id="1">
    <w:p w14:paraId="0F558C75" w14:textId="77777777" w:rsidR="00C274FA" w:rsidRDefault="00C274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DC3728"/>
    <w:multiLevelType w:val="multilevel"/>
    <w:tmpl w:val="606E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56520"/>
    <w:multiLevelType w:val="multilevel"/>
    <w:tmpl w:val="82FA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AA53CC"/>
    <w:multiLevelType w:val="multilevel"/>
    <w:tmpl w:val="24E0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15:restartNumberingAfterBreak="0">
    <w:nsid w:val="7EB954B4"/>
    <w:multiLevelType w:val="multilevel"/>
    <w:tmpl w:val="68F0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904218336">
    <w:abstractNumId w:val="15"/>
  </w:num>
  <w:num w:numId="2" w16cid:durableId="432433966">
    <w:abstractNumId w:val="18"/>
  </w:num>
  <w:num w:numId="3" w16cid:durableId="1072654976">
    <w:abstractNumId w:val="13"/>
  </w:num>
  <w:num w:numId="4" w16cid:durableId="2060665107">
    <w:abstractNumId w:val="2"/>
  </w:num>
  <w:num w:numId="5" w16cid:durableId="62728111">
    <w:abstractNumId w:val="10"/>
  </w:num>
  <w:num w:numId="6" w16cid:durableId="1192258563">
    <w:abstractNumId w:val="22"/>
  </w:num>
  <w:num w:numId="7" w16cid:durableId="165171493">
    <w:abstractNumId w:val="4"/>
  </w:num>
  <w:num w:numId="8" w16cid:durableId="1607152925">
    <w:abstractNumId w:val="23"/>
  </w:num>
  <w:num w:numId="9" w16cid:durableId="1805849652">
    <w:abstractNumId w:val="5"/>
  </w:num>
  <w:num w:numId="10" w16cid:durableId="1720977789">
    <w:abstractNumId w:val="9"/>
  </w:num>
  <w:num w:numId="11" w16cid:durableId="1839729596">
    <w:abstractNumId w:val="3"/>
  </w:num>
  <w:num w:numId="12" w16cid:durableId="1502041268">
    <w:abstractNumId w:val="17"/>
  </w:num>
  <w:num w:numId="13" w16cid:durableId="1834485100">
    <w:abstractNumId w:val="20"/>
  </w:num>
  <w:num w:numId="14" w16cid:durableId="1752965613">
    <w:abstractNumId w:val="1"/>
  </w:num>
  <w:num w:numId="15" w16cid:durableId="1687099595">
    <w:abstractNumId w:val="0"/>
  </w:num>
  <w:num w:numId="16" w16cid:durableId="1924299205">
    <w:abstractNumId w:val="7"/>
  </w:num>
  <w:num w:numId="17" w16cid:durableId="1178614670">
    <w:abstractNumId w:val="11"/>
  </w:num>
  <w:num w:numId="18" w16cid:durableId="295449875">
    <w:abstractNumId w:val="6"/>
  </w:num>
  <w:num w:numId="19" w16cid:durableId="847721484">
    <w:abstractNumId w:val="21"/>
  </w:num>
  <w:num w:numId="20" w16cid:durableId="347566755">
    <w:abstractNumId w:val="12"/>
  </w:num>
  <w:num w:numId="21" w16cid:durableId="1500846216">
    <w:abstractNumId w:val="19"/>
  </w:num>
  <w:num w:numId="22" w16cid:durableId="490147644">
    <w:abstractNumId w:val="25"/>
  </w:num>
  <w:num w:numId="23" w16cid:durableId="1775049284">
    <w:abstractNumId w:val="14"/>
  </w:num>
  <w:num w:numId="24" w16cid:durableId="1239707461">
    <w:abstractNumId w:val="16"/>
  </w:num>
  <w:num w:numId="25" w16cid:durableId="176045106">
    <w:abstractNumId w:val="24"/>
  </w:num>
  <w:num w:numId="26" w16cid:durableId="494883607">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OTVlMzU4NjEtMzY4OS00ZTBkLWE4NDYtYzJkZTc4ZjZkYzA2XCIsXCI1Nzk5NDRhOC0y"/>
    <w:docVar w:name="GVData0" w:val="MTYzLTQ5ODctODU0ZC1hOTM3MDc4ODk5MTFcIixcImY1ZDdlODM4LTFlMzEtNGFkYy04NmM5LTAwMWFmNzdjYjRhN1wiLFwiYzgzYTM1ZWQtNWNmZi00Nzk4LWEzZjItMTA0OWYwYzc5YWVkXCIsXCJiMDQ1MjhiYi03OTkwLTRiZGMtODQ4ZS0xMjhlNGUzNDQyNjNc"/>
    <w:docVar w:name="GVData1" w:val="IixcIjZkZmJjOTQwLTE2ZmMtNGEwMi1iYTE1LTczMWViMjRlNjVhMVwiLFwiMjU3MDU3YWQtMzQwOS00YmYyLWFmZTYtMGE3NGI3NmE1MjQyXCIsXCJmYmQzZjUxNC01NzZjLTQ5ZTItYTZlNC05YzEwYWI2NWQ2YjlcIixcIjJlMjA1ZThkLWQ0N2EtNDY4ZC04YWNm"/>
    <w:docVar w:name="GVData2" w:val="LTU5M2ExMGRmZGU5ZVwiLFwiODQ3NTBjMTctNTAwYi00YjRhLWE0ODgtYzFiMjVhYmZmYmNlXCJdIiwid3JpdHRlbktleXMiOiJbXCJndmRvY2lkXCIsXCJDbGFzc2lmaWNhdGlvblwiLFwiQ3VzdG9tZXJOYW1lXCIsXCJGaWxlSWRcIixcIlVzZXJJZFwiLFwiVGFn"/>
    <w:docVar w:name="GVData3" w:val="RGF0ZVRpbWVcIixcIktUQlwiLFwiQ2xhc3NpZmljYXRpb25HdWlkXCJdIiwibm9PZkd2RGF0YUVudHJpZXMiOiI3IiwibGluZUlkIjoiZTg4YzUzYjYtMzNhOC00NDQzLWJkMjMtMTMyMTQwNGFmNDA3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4:24:11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C59"/>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4EDD"/>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26A1D"/>
    <w:rsid w:val="001310BD"/>
    <w:rsid w:val="00131725"/>
    <w:rsid w:val="00131CF4"/>
    <w:rsid w:val="00132288"/>
    <w:rsid w:val="00132739"/>
    <w:rsid w:val="00135F27"/>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04E3"/>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47955"/>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0F2F"/>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B735B"/>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57B1"/>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567"/>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4DA"/>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5F71"/>
    <w:rsid w:val="00866246"/>
    <w:rsid w:val="00866884"/>
    <w:rsid w:val="00866FBF"/>
    <w:rsid w:val="008678A3"/>
    <w:rsid w:val="00867FA7"/>
    <w:rsid w:val="0087114B"/>
    <w:rsid w:val="0087216A"/>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1E3D"/>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D67"/>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052"/>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74C"/>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274FA"/>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033"/>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557A"/>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785"/>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5B87"/>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8725E"/>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1E04E3"/>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1E04E3"/>
    <w:rPr>
      <w:b/>
      <w:bCs/>
    </w:rPr>
  </w:style>
  <w:style w:type="character" w:customStyle="1" w:styleId="inline-flex">
    <w:name w:val="inline-flex"/>
    <w:basedOn w:val="DefaultParagraphFont"/>
    <w:rsid w:val="001E04E3"/>
  </w:style>
  <w:style w:type="character" w:customStyle="1" w:styleId="text-nowrap">
    <w:name w:val="text-nowrap"/>
    <w:basedOn w:val="DefaultParagraphFont"/>
    <w:rsid w:val="001E04E3"/>
  </w:style>
  <w:style w:type="character" w:styleId="UnresolvedMention">
    <w:name w:val="Unresolved Mention"/>
    <w:basedOn w:val="DefaultParagraphFont"/>
    <w:uiPriority w:val="99"/>
    <w:semiHidden/>
    <w:unhideWhenUsed/>
    <w:rsid w:val="00104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41</TotalTime>
  <Pages>14</Pages>
  <Words>6823</Words>
  <Characters>30640</Characters>
  <Application>Microsoft Office Word</Application>
  <DocSecurity>8</DocSecurity>
  <Lines>373</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37303</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19</cp:revision>
  <cp:lastPrinted>2026-08-07T07:05:00Z</cp:lastPrinted>
  <dcterms:created xsi:type="dcterms:W3CDTF">2026-04-27T09:24:00Z</dcterms:created>
  <dcterms:modified xsi:type="dcterms:W3CDTF">2026-08-10T04:24:00Z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2569-08-10T04:24:11Z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eyJPUyI6IldpbmRvd3MiLCJkb2NJRCI6IjZlMjc0YWIzLTcyZDEtNGFjYi1hNzc5LWFlNzBlZWFhOGI0ZiIsImRvY1N0YXRlIjoie30iLCJwYXJlbnRMaW5lSWRzIjoiW1wiOTVlMzU4NjEtMzY4OS00ZTBkLWE4NDYtYzJkZTc4ZjZkYzA2XCIsXCI1Nzk5NDRhOC0y</vt:lpwstr>
  </property>
  <property fmtid="{D5CDD505-2E9C-101B-9397-08002B2CF9AE}" pid="9" name="GVData0">
    <vt:lpwstr>MTYzLTQ5ODctODU0ZC1hOTM3MDc4ODk5MTFcIixcImY1ZDdlODM4LTFlMzEtNGFkYy04NmM5LTAwMWFmNzdjYjRhN1wiLFwiYzgzYTM1ZWQtNWNmZi00Nzk4LWEzZjItMTA0OWYwYzc5YWVkXCIsXCJiMDQ1MjhiYi03OTkwLTRiZGMtODQ4ZS0xMjhlNGUzNDQyNjNc</vt:lpwstr>
  </property>
  <property fmtid="{D5CDD505-2E9C-101B-9397-08002B2CF9AE}" pid="10" name="GVData1">
    <vt:lpwstr>IixcIjZkZmJjOTQwLTE2ZmMtNGEwMi1iYTE1LTczMWViMjRlNjVhMVwiLFwiMjU3MDU3YWQtMzQwOS00YmYyLWFmZTYtMGE3NGI3NmE1MjQyXCIsXCJmYmQzZjUxNC01NzZjLTQ5ZTItYTZlNC05YzEwYWI2NWQ2YjlcIixcIjJlMjA1ZThkLWQ0N2EtNDY4ZC04YWNm</vt:lpwstr>
  </property>
  <property fmtid="{D5CDD505-2E9C-101B-9397-08002B2CF9AE}" pid="11" name="GVData2">
    <vt:lpwstr>LTU5M2ExMGRmZGU5ZVwiLFwiODQ3NTBjMTctNTAwYi00YjRhLWE0ODgtYzFiMjVhYmZmYmNlXCJdIiwid3JpdHRlbktleXMiOiJbXCJndmRvY2lkXCIsXCJDbGFzc2lmaWNhdGlvblwiLFwiQ3VzdG9tZXJOYW1lXCIsXCJGaWxlSWRcIixcIlVzZXJJZFwiLFwiVGFn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RGF0ZVRpbWVcIixcIktUQlwiLFwiQ2xhc3NpZmljYXRpb25HdWlkXCJdIiwibm9PZkd2RGF0YUVudHJpZXMiOiI3IiwibGluZUlkIjoiZTg4YzUzYjYtMzNhOC00NDQzLWJkMjMtMTMyMTQwNGFmNDA3IiwidGFnc2V0X2UxNjQwOWE3XzE3MDBfNDE1M185MDkwXzM5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