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FABRINET</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FABRINET</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7"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7"/>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8" w:name="_Hlk67831876"/>
      <w:r w:rsidRPr="00BD7623">
        <w:rPr>
          <w:rFonts w:ascii="Angsana New" w:hAnsi="Angsana New" w:cs="Angsana New"/>
          <w:sz w:val="28"/>
          <w:cs/>
        </w:rPr>
        <w:t>...................................................................................................................................................................................................................................................................................................................................</w:t>
      </w:r>
      <w:bookmarkEnd w:id="8"/>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FABRINET</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FABRINET</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แนสแด็ก (NASDAQ)</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FABRINET ("FABRINET")</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68180FB"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FABRINET</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แนสแด็ก (NASDAQ)</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F</w:t>
            </w:r>
            <w:r w:rsidR="006E57B1">
              <w:rPr>
                <w:rFonts w:asciiTheme="majorBidi" w:hAnsiTheme="majorBidi" w:cs="Angsana New"/>
                <w:noProof/>
                <w:sz w:val="28"/>
              </w:rPr>
              <w:t>A</w:t>
            </w:r>
            <w:r w:rsidR="00A27AC1">
              <w:rPr>
                <w:rFonts w:asciiTheme="majorBidi" w:hAnsiTheme="majorBidi" w:cs="Angsana New"/>
                <w:noProof/>
                <w:sz w:val="28"/>
              </w:rPr>
              <w:t>BR</w:t>
            </w:r>
            <w:r w:rsidR="006E57B1">
              <w:rPr>
                <w:rFonts w:asciiTheme="majorBidi" w:hAnsiTheme="majorBidi" w:cs="Angsana New"/>
                <w:noProof/>
                <w:sz w:val="28"/>
              </w:rPr>
              <w:t>I</w:t>
            </w:r>
            <w:r w:rsidR="00A27AC1">
              <w:rPr>
                <w:rFonts w:asciiTheme="majorBidi" w:hAnsiTheme="majorBidi" w:cs="Angsana New"/>
                <w:noProof/>
                <w:sz w:val="28"/>
              </w:rPr>
              <w:t>NET80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3AF5D90C"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A27AC1">
        <w:rPr>
          <w:rFonts w:asciiTheme="majorBidi" w:hAnsiTheme="majorBidi" w:cs="Angsana New"/>
          <w:b/>
          <w:bCs/>
          <w:noProof/>
          <w:sz w:val="28"/>
        </w:rPr>
        <w:t>10,000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4902160D"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color w:val="000000"/>
          <w:sz w:val="28"/>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F657A" w:rsidRPr="00BD7623">
        <w:rPr>
          <w:rFonts w:ascii="Angsana New" w:eastAsia="Times New Roman" w:hAnsi="Angsana New" w:cs="Angsana New"/>
          <w:sz w:val="28"/>
          <w:cs/>
        </w:rPr>
        <w:t>[</w:t>
      </w:r>
      <w:r w:rsidR="00911E3D" w:rsidRPr="005E479A">
        <w:rPr>
          <w:rFonts w:ascii="Angsana New" w:hAnsi="Angsana New" w:cs="Angsana New"/>
          <w:szCs w:val="32"/>
        </w:rPr>
        <w:sym w:font="Wingdings" w:char="F06C"/>
      </w:r>
      <w:r w:rsidR="003F657A" w:rsidRPr="00BD7623">
        <w:rPr>
          <w:rFonts w:ascii="Angsana New" w:eastAsia="Times New Roman" w:hAnsi="Angsana New" w:cs="Angsana New"/>
          <w:sz w:val="28"/>
          <w:cs/>
        </w:rPr>
        <w:t>]</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9" w:name="_Hlk213254961"/>
      <w:r w:rsidRPr="00BD7623">
        <w:rPr>
          <w:rFonts w:ascii="Angsana New" w:hAnsi="Angsana New" w:cs="Angsana New" w:hint="cs"/>
          <w:b/>
          <w:sz w:val="28"/>
          <w:cs/>
        </w:rPr>
        <w:t>ตราสารอาจมี</w:t>
      </w:r>
      <w:bookmarkEnd w:id="9"/>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0"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0"/>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FABRINET</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190 Elgin Avenue, George Town</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Grand Cayman, Cayman Islands</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+66 2-524-9600</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https://fabrinet.com/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แนสแด็ก (NASDAQ)</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https://www.nasdaq.com/market-activity/stocks/fn</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55202C89" w14:textId="4E597326" w:rsidR="001E04E3" w:rsidRP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Overview</w:t>
      </w:r>
    </w:p>
    <w:p w14:paraId="719B8161" w14:textId="08238133"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Fabrinet is the leading precision outsourced manufacturing platform for the global optical communications and advanced technology markets. Founded in 1999 and incorporated in the Cayman Islands, with principal operations anchored in Pathumthani, Thailand, the company operates at the intersection of complex optics, electro-mechanical engineering, and high-volume production execution. Rather than competing across the broad electronics manufacturing services (EMS) landscape, Fabrinet has deliberately concentrated its capabilities on products requiring sub-micron alignment tolerances, ISO-class cleanroom environments, and rigorous test and quality systems — a positioning that makes it the manufacturing backbone for many of the world's most demanding original equipment manufacturers across optical networking, AI infrastructure, automotive, and industrial applications. In fiscal year 2025, the company generated record annual revenue of approximately $3.4 billion, representing 19% year-over-year growth.</w:t>
      </w:r>
    </w:p>
    <w:p w14:paraId="526D6035" w14:textId="4910AF97"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lastRenderedPageBreak/>
        <w:t>Principal Business Operations</w:t>
      </w:r>
    </w:p>
    <w:p w14:paraId="75BF65EA" w14:textId="1CADCBBA" w:rsidR="001E04E3" w:rsidRPr="001E04E3" w:rsidRDefault="001E04E3" w:rsidP="001E04E3">
      <w:pPr>
        <w:pStyle w:val="font-claude-response-body"/>
        <w:ind w:firstLine="360"/>
        <w:jc w:val="both"/>
        <w:rPr>
          <w:rFonts w:asciiTheme="majorBidi" w:hAnsiTheme="majorBidi" w:cstheme="majorBidi"/>
          <w:sz w:val="28"/>
          <w:szCs w:val="28"/>
        </w:rPr>
      </w:pPr>
      <w:r w:rsidRPr="001E04E3">
        <w:rPr>
          <w:rFonts w:asciiTheme="majorBidi" w:hAnsiTheme="majorBidi" w:cstheme="majorBidi"/>
          <w:sz w:val="28"/>
          <w:szCs w:val="28"/>
        </w:rPr>
        <w:t>The operations are organized across two primary product segments:</w:t>
      </w:r>
    </w:p>
    <w:p w14:paraId="4AB5AFA1" w14:textId="4C4C0D79" w:rsidR="001E04E3" w:rsidRPr="001E04E3" w:rsidRDefault="001E04E3" w:rsidP="001E04E3">
      <w:pPr>
        <w:pStyle w:val="font-claude-response-body"/>
        <w:numPr>
          <w:ilvl w:val="0"/>
          <w:numId w:val="23"/>
        </w:numPr>
        <w:jc w:val="both"/>
        <w:rPr>
          <w:rFonts w:asciiTheme="majorBidi" w:hAnsiTheme="majorBidi" w:cstheme="majorBidi"/>
          <w:sz w:val="28"/>
          <w:szCs w:val="28"/>
        </w:rPr>
      </w:pPr>
      <w:r w:rsidRPr="001E04E3">
        <w:rPr>
          <w:rFonts w:asciiTheme="majorBidi" w:hAnsiTheme="majorBidi" w:cstheme="majorBidi"/>
          <w:sz w:val="28"/>
          <w:szCs w:val="28"/>
        </w:rPr>
        <w:t xml:space="preserve">Optical Communications Segment: The core and historically largest revenue driver, encompassing the design-in, manufacture, advanced packaging, integration, and final assembly and test of optical transceiver modules, reconfigurable optical add-drop multiplexers (ROADMs), amplifiers, modulators, wavelength-selective switches, and coherent optical subsystems. Demand is driven by high-data-rate datacom products supporting hyperscale data center interconnect and the build-out of AI networking infrastructure, as well as telecom-grade datacenter interconnect products. The company has captured leading share in 800G transceiver production. </w:t>
      </w:r>
    </w:p>
    <w:p w14:paraId="371F8370" w14:textId="12D8923D" w:rsidR="001E04E3" w:rsidRPr="001E04E3" w:rsidRDefault="001E04E3" w:rsidP="001E04E3">
      <w:pPr>
        <w:pStyle w:val="font-claude-response-body"/>
        <w:numPr>
          <w:ilvl w:val="0"/>
          <w:numId w:val="23"/>
        </w:numPr>
        <w:jc w:val="both"/>
        <w:rPr>
          <w:rFonts w:asciiTheme="majorBidi" w:hAnsiTheme="majorBidi" w:cstheme="majorBidi"/>
          <w:sz w:val="28"/>
          <w:szCs w:val="28"/>
        </w:rPr>
      </w:pPr>
      <w:r w:rsidRPr="001E04E3">
        <w:rPr>
          <w:rFonts w:asciiTheme="majorBidi" w:hAnsiTheme="majorBidi" w:cstheme="majorBidi"/>
          <w:sz w:val="28"/>
          <w:szCs w:val="28"/>
        </w:rPr>
        <w:t xml:space="preserve">Advanced Industrial, Automotive, and Other Segment: Encompasses precision manufacturing for industrial lasers, LiDAR sensors, automotive electronics, medical devices, and semiconductor processing equipment. End markets include biotechnology, metrology, semiconductor processing, and automotive applications requiring equivalent levels of manufacturing precision and quality assurance. </w:t>
      </w:r>
    </w:p>
    <w:p w14:paraId="6A92D842" w14:textId="1E7F4075"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Supply Chain and Infrastructure</w:t>
      </w:r>
    </w:p>
    <w:p w14:paraId="4F023242" w14:textId="6BDF24C7"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 xml:space="preserve">Fabrinet's manufacturing footprint is anchored at its Pinehurst and Chonburi campuses in Thailand, which together produce over 50% of volumes for key optical product lines. The company maintains ISO-class cleanrooms and process controls to support devices with micron-level alignment tolerances and offers engineering-for-manufacturing (EFM) and design-for-test (DFT) services that shorten OEM development cycles. Complementary operations are maintained in the United States, the People's Republic of China, and Israel, enabling Fabrinet to support customer engineering and qualification workflows globally. In 2025, the company completed the ramp-up of Building 9 in Thailand, adding large-scale capacity to serve the surge in AI hardware and optical networking demand, and maintained a debt-free balance sheet with cash exceeding $800 million. </w:t>
      </w:r>
    </w:p>
    <w:p w14:paraId="56D0B011" w14:textId="1EFF557E"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Strategy and Future Prospects</w:t>
      </w:r>
    </w:p>
    <w:p w14:paraId="224EEE43" w14:textId="5C0C16B9" w:rsidR="001E04E3" w:rsidRPr="001E04E3" w:rsidRDefault="001E04E3" w:rsidP="001E04E3">
      <w:pPr>
        <w:pStyle w:val="font-claude-response-body"/>
        <w:ind w:firstLine="360"/>
        <w:jc w:val="both"/>
        <w:rPr>
          <w:rFonts w:asciiTheme="majorBidi" w:hAnsiTheme="majorBidi" w:cstheme="majorBidi"/>
          <w:sz w:val="28"/>
          <w:szCs w:val="28"/>
        </w:rPr>
      </w:pPr>
      <w:r w:rsidRPr="001E04E3">
        <w:rPr>
          <w:rFonts w:asciiTheme="majorBidi" w:hAnsiTheme="majorBidi" w:cstheme="majorBidi"/>
          <w:sz w:val="28"/>
          <w:szCs w:val="28"/>
        </w:rPr>
        <w:t>The strategy is built on sustaining a highly defensible niche manufacturing position while capitalizing on secular growth in AI-driven optical infrastructure. Key strategic pillars include:</w:t>
      </w:r>
    </w:p>
    <w:p w14:paraId="4917437A" w14:textId="77777777" w:rsidR="001E04E3" w:rsidRPr="001E04E3" w:rsidRDefault="001E04E3" w:rsidP="001E04E3">
      <w:pPr>
        <w:pStyle w:val="font-claude-response-body"/>
        <w:numPr>
          <w:ilvl w:val="0"/>
          <w:numId w:val="24"/>
        </w:numPr>
        <w:jc w:val="both"/>
        <w:rPr>
          <w:rFonts w:asciiTheme="majorBidi" w:hAnsiTheme="majorBidi" w:cstheme="majorBidi"/>
          <w:sz w:val="28"/>
          <w:szCs w:val="28"/>
        </w:rPr>
      </w:pPr>
      <w:r w:rsidRPr="001E04E3">
        <w:rPr>
          <w:rFonts w:asciiTheme="majorBidi" w:hAnsiTheme="majorBidi" w:cstheme="majorBidi"/>
          <w:sz w:val="28"/>
          <w:szCs w:val="28"/>
        </w:rPr>
        <w:t>AI Infrastructure Capture: Positioning Fabrinet as the preferred manufacturing partner for 800G and next-generation 1.6T optical transceiver programs serving hyperscale AI cluster interconnects, leveraging existing deep customer relationships and capacity expansion.</w:t>
      </w:r>
    </w:p>
    <w:p w14:paraId="1C846F92" w14:textId="2B259684" w:rsidR="001E04E3" w:rsidRPr="001E04E3" w:rsidRDefault="001E04E3" w:rsidP="001E04E3">
      <w:pPr>
        <w:pStyle w:val="font-claude-response-body"/>
        <w:numPr>
          <w:ilvl w:val="0"/>
          <w:numId w:val="24"/>
        </w:numPr>
        <w:jc w:val="both"/>
        <w:rPr>
          <w:rFonts w:asciiTheme="majorBidi" w:hAnsiTheme="majorBidi" w:cstheme="majorBidi"/>
          <w:sz w:val="28"/>
          <w:szCs w:val="28"/>
        </w:rPr>
      </w:pPr>
      <w:r w:rsidRPr="001E04E3">
        <w:rPr>
          <w:rFonts w:asciiTheme="majorBidi" w:hAnsiTheme="majorBidi" w:cstheme="majorBidi"/>
          <w:sz w:val="28"/>
          <w:szCs w:val="28"/>
        </w:rPr>
        <w:t xml:space="preserve">China+1 Diversification: Operating Thailand as a geopolitically attractive manufacturing alternative for Western OEMs seeking supply-chain diversification away from China, a structural tailwind as customers re-evaluate concentrated Asia exposure. </w:t>
      </w:r>
    </w:p>
    <w:p w14:paraId="1FB8FC1F" w14:textId="77777777" w:rsidR="001E04E3" w:rsidRPr="001E04E3" w:rsidRDefault="001E04E3" w:rsidP="001E04E3">
      <w:pPr>
        <w:pStyle w:val="font-claude-response-body"/>
        <w:numPr>
          <w:ilvl w:val="0"/>
          <w:numId w:val="24"/>
        </w:numPr>
        <w:jc w:val="both"/>
        <w:rPr>
          <w:rFonts w:asciiTheme="majorBidi" w:hAnsiTheme="majorBidi" w:cstheme="majorBidi"/>
          <w:sz w:val="28"/>
          <w:szCs w:val="28"/>
        </w:rPr>
      </w:pPr>
      <w:r w:rsidRPr="001E04E3">
        <w:rPr>
          <w:rFonts w:asciiTheme="majorBidi" w:hAnsiTheme="majorBidi" w:cstheme="majorBidi"/>
          <w:sz w:val="28"/>
          <w:szCs w:val="28"/>
        </w:rPr>
        <w:t>Program Stickiness and Share Expansion: Continuously winning new systems-level programs — including optical systems and advanced assemblies — to expand revenue per customer and deepen switching costs beyond component-level manufacturing.</w:t>
      </w:r>
    </w:p>
    <w:p w14:paraId="16AD0110" w14:textId="77777777" w:rsidR="001E04E3" w:rsidRPr="001E04E3" w:rsidRDefault="001E04E3" w:rsidP="001E04E3">
      <w:pPr>
        <w:pStyle w:val="font-claude-response-body"/>
        <w:numPr>
          <w:ilvl w:val="0"/>
          <w:numId w:val="24"/>
        </w:numPr>
        <w:jc w:val="both"/>
        <w:rPr>
          <w:rFonts w:asciiTheme="majorBidi" w:hAnsiTheme="majorBidi" w:cstheme="majorBidi"/>
          <w:sz w:val="28"/>
          <w:szCs w:val="28"/>
        </w:rPr>
      </w:pPr>
      <w:r w:rsidRPr="001E04E3">
        <w:rPr>
          <w:rFonts w:asciiTheme="majorBidi" w:hAnsiTheme="majorBidi" w:cstheme="majorBidi"/>
          <w:sz w:val="28"/>
          <w:szCs w:val="28"/>
        </w:rPr>
        <w:lastRenderedPageBreak/>
        <w:t>Advanced Segment Recovery: Navigating the recovery cycle in industrial lasers, automotive electronics, and sensing end markets that experienced inventory correction headwinds in fiscal years 2023 and 2024.</w:t>
      </w:r>
    </w:p>
    <w:p w14:paraId="533890A2" w14:textId="3C118838"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Value Propositions</w:t>
      </w:r>
    </w:p>
    <w:p w14:paraId="060E8773" w14:textId="125B4A28"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 xml:space="preserve">Fabrinet aligns its value with the precision, reliability, and scale of execution that technology OEMs require but cannot cost-effectively replicate in-house. For optical communications customers, it delivers sub-micron alignment accuracy, cleanroom manufacturing at volume, and rapid yield ramps that reduce time-to-market for new transceiver generations. For advanced industrial and automotive OEMs, it provides rigorous quality management and process engineering expertise at a cost structure that outcompetes internal manufacturing. Its Thailand-centered operating base supports efficiency and labor access, while the company's combination of complex-manufacturing capability with disciplined supply-chain execution enables it to win programs where precision and quality systems matter more than simply quoting the lowest labor rate. </w:t>
      </w:r>
    </w:p>
    <w:p w14:paraId="29D6F960" w14:textId="3729B35D"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Customer Segments</w:t>
      </w:r>
    </w:p>
    <w:p w14:paraId="766F08F0" w14:textId="4588BD67" w:rsidR="001E04E3" w:rsidRPr="001E04E3" w:rsidRDefault="001E04E3" w:rsidP="001E04E3">
      <w:pPr>
        <w:pStyle w:val="font-claude-response-body"/>
        <w:ind w:firstLine="360"/>
        <w:jc w:val="both"/>
        <w:rPr>
          <w:rFonts w:asciiTheme="majorBidi" w:hAnsiTheme="majorBidi" w:cstheme="majorBidi"/>
          <w:sz w:val="28"/>
          <w:szCs w:val="28"/>
        </w:rPr>
      </w:pPr>
      <w:r w:rsidRPr="001E04E3">
        <w:rPr>
          <w:rFonts w:asciiTheme="majorBidi" w:hAnsiTheme="majorBidi" w:cstheme="majorBidi"/>
          <w:sz w:val="28"/>
          <w:szCs w:val="28"/>
        </w:rPr>
        <w:t>Fabrinet serves a concentrated base of high-value global technology OEMs:</w:t>
      </w:r>
    </w:p>
    <w:p w14:paraId="1CB6C7F1" w14:textId="77777777" w:rsidR="001E04E3" w:rsidRPr="001E04E3" w:rsidRDefault="001E04E3" w:rsidP="001E04E3">
      <w:pPr>
        <w:pStyle w:val="font-claude-response-body"/>
        <w:numPr>
          <w:ilvl w:val="0"/>
          <w:numId w:val="25"/>
        </w:numPr>
        <w:jc w:val="both"/>
        <w:rPr>
          <w:rFonts w:asciiTheme="majorBidi" w:hAnsiTheme="majorBidi" w:cstheme="majorBidi"/>
          <w:sz w:val="28"/>
          <w:szCs w:val="28"/>
        </w:rPr>
      </w:pPr>
      <w:r w:rsidRPr="001E04E3">
        <w:rPr>
          <w:rFonts w:asciiTheme="majorBidi" w:hAnsiTheme="majorBidi" w:cstheme="majorBidi"/>
          <w:sz w:val="28"/>
          <w:szCs w:val="28"/>
        </w:rPr>
        <w:t>Optical Networking OEMs: Leading suppliers of transceivers, coherent optical modules, and networking subsystems serving hyperscale data center and telecommunications infrastructure markets, including customers such as Coherent Corp., II-VI, Lumentum, and Viavi Solutions.</w:t>
      </w:r>
    </w:p>
    <w:p w14:paraId="2B2119A1" w14:textId="77777777" w:rsidR="001E04E3" w:rsidRPr="001E04E3" w:rsidRDefault="001E04E3" w:rsidP="001E04E3">
      <w:pPr>
        <w:pStyle w:val="font-claude-response-body"/>
        <w:numPr>
          <w:ilvl w:val="0"/>
          <w:numId w:val="25"/>
        </w:numPr>
        <w:jc w:val="both"/>
        <w:rPr>
          <w:rFonts w:asciiTheme="majorBidi" w:hAnsiTheme="majorBidi" w:cstheme="majorBidi"/>
          <w:sz w:val="28"/>
          <w:szCs w:val="28"/>
        </w:rPr>
      </w:pPr>
      <w:r w:rsidRPr="001E04E3">
        <w:rPr>
          <w:rFonts w:asciiTheme="majorBidi" w:hAnsiTheme="majorBidi" w:cstheme="majorBidi"/>
          <w:sz w:val="28"/>
          <w:szCs w:val="28"/>
        </w:rPr>
        <w:t>Hyperscale and AI Infrastructure Players: Data center operators and AI hardware vendors driving demand for high-data-rate optical interconnects in next-generation AI training and inference clusters.</w:t>
      </w:r>
    </w:p>
    <w:p w14:paraId="2FE10E5B" w14:textId="77777777" w:rsidR="001E04E3" w:rsidRPr="001E04E3" w:rsidRDefault="001E04E3" w:rsidP="001E04E3">
      <w:pPr>
        <w:pStyle w:val="font-claude-response-body"/>
        <w:numPr>
          <w:ilvl w:val="0"/>
          <w:numId w:val="25"/>
        </w:numPr>
        <w:jc w:val="both"/>
        <w:rPr>
          <w:rFonts w:asciiTheme="majorBidi" w:hAnsiTheme="majorBidi" w:cstheme="majorBidi"/>
          <w:sz w:val="28"/>
          <w:szCs w:val="28"/>
        </w:rPr>
      </w:pPr>
      <w:r w:rsidRPr="001E04E3">
        <w:rPr>
          <w:rFonts w:asciiTheme="majorBidi" w:hAnsiTheme="majorBidi" w:cstheme="majorBidi"/>
          <w:sz w:val="28"/>
          <w:szCs w:val="28"/>
        </w:rPr>
        <w:t>Industrial Laser and Sensing Manufacturers: OEMs producing precision laser systems for materials processing, semiconductor lithography, medical diagnostics, and automotive LiDAR applications.</w:t>
      </w:r>
    </w:p>
    <w:p w14:paraId="67F07CDE" w14:textId="77777777" w:rsidR="001E04E3" w:rsidRPr="001E04E3" w:rsidRDefault="001E04E3" w:rsidP="001E04E3">
      <w:pPr>
        <w:pStyle w:val="font-claude-response-body"/>
        <w:numPr>
          <w:ilvl w:val="0"/>
          <w:numId w:val="25"/>
        </w:numPr>
        <w:jc w:val="both"/>
        <w:rPr>
          <w:rFonts w:asciiTheme="majorBidi" w:hAnsiTheme="majorBidi" w:cstheme="majorBidi"/>
          <w:sz w:val="28"/>
          <w:szCs w:val="28"/>
        </w:rPr>
      </w:pPr>
      <w:r w:rsidRPr="001E04E3">
        <w:rPr>
          <w:rFonts w:asciiTheme="majorBidi" w:hAnsiTheme="majorBidi" w:cstheme="majorBidi"/>
          <w:sz w:val="28"/>
          <w:szCs w:val="28"/>
        </w:rPr>
        <w:t>Automotive Electronics OEMs: Manufacturers of advanced driver assistance systems (ADAS) components and electromechanical assemblies requiring automotive-grade quality standards.</w:t>
      </w:r>
    </w:p>
    <w:p w14:paraId="18D58947" w14:textId="5300173F"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Customer Relationships</w:t>
      </w:r>
    </w:p>
    <w:p w14:paraId="0FF33940" w14:textId="12F33F71"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 xml:space="preserve">Fabrinet's recipe for winning is to combine complex-manufacturing capability with a cost-advantaged operating base and high execution reliability, targeting programs where precision optical alignment, quality systems, test capability, and disciplined supply-chain execution are the primary selection criteria. Relationships are cultivated through deep co-engineering engagements at the process design and qualification stage, creating high switching costs once a program enters volume production. Fabrinet localizes engineering and sales support near customer R&amp;D hubs to streamline design-in phases and maintain close customer collaboration. Long-term supply agreements and multi-year program wins provide revenue visibility and reinforce the structural stickiness of the model. </w:t>
      </w:r>
    </w:p>
    <w:p w14:paraId="67E7D16B" w14:textId="4359DC39"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Channels</w:t>
      </w:r>
    </w:p>
    <w:p w14:paraId="00E8159C" w14:textId="4A776DBE"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lastRenderedPageBreak/>
        <w:t>Revenue is generated through a direct enterprise sales model structured around named account management teams embedded within or adjacent to customer engineering organizations. Formal RFQ and qualification processes govern program wins, with volume production awarded through bilateral supply agreements following successful process qualification and yield validation. North America is the largest billing geography, accounting for over 50% of sales, driven by hyperscalers and Silicon Valley-based OEMs. Asia-Pacific represents approximately 35% of revenue, supported by networking customers and automotive electronics companies in Japan and South Korea, with Europe accounting for the remainder.</w:t>
      </w:r>
    </w:p>
    <w:p w14:paraId="54669651" w14:textId="7EA1786A"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Revenue Streams</w:t>
      </w:r>
    </w:p>
    <w:p w14:paraId="6291AE7A" w14:textId="50728509" w:rsidR="001E04E3" w:rsidRPr="001E04E3" w:rsidRDefault="001E04E3" w:rsidP="001E04E3">
      <w:pPr>
        <w:pStyle w:val="font-claude-response-body"/>
        <w:ind w:firstLine="360"/>
        <w:jc w:val="both"/>
        <w:rPr>
          <w:rFonts w:asciiTheme="majorBidi" w:hAnsiTheme="majorBidi" w:cstheme="majorBidi"/>
          <w:sz w:val="28"/>
          <w:szCs w:val="28"/>
        </w:rPr>
      </w:pPr>
      <w:r w:rsidRPr="001E04E3">
        <w:rPr>
          <w:rFonts w:asciiTheme="majorBidi" w:hAnsiTheme="majorBidi" w:cstheme="majorBidi"/>
          <w:sz w:val="28"/>
          <w:szCs w:val="28"/>
        </w:rPr>
        <w:t>Revenue is driven almost entirely by manufacturing services fees billed on a cost-plus or negotiated unit-price basis, with product mix shifting toward higher-complexity, higher-value-add assemblies over time:</w:t>
      </w:r>
    </w:p>
    <w:p w14:paraId="09DF6FFE" w14:textId="77777777" w:rsidR="001E04E3" w:rsidRPr="001E04E3" w:rsidRDefault="001E04E3" w:rsidP="001E04E3">
      <w:pPr>
        <w:pStyle w:val="font-claude-response-body"/>
        <w:numPr>
          <w:ilvl w:val="0"/>
          <w:numId w:val="26"/>
        </w:numPr>
        <w:jc w:val="both"/>
        <w:rPr>
          <w:rFonts w:asciiTheme="majorBidi" w:hAnsiTheme="majorBidi" w:cstheme="majorBidi"/>
          <w:sz w:val="28"/>
          <w:szCs w:val="28"/>
        </w:rPr>
      </w:pPr>
      <w:r w:rsidRPr="001E04E3">
        <w:rPr>
          <w:rFonts w:asciiTheme="majorBidi" w:hAnsiTheme="majorBidi" w:cstheme="majorBidi"/>
          <w:sz w:val="28"/>
          <w:szCs w:val="28"/>
        </w:rPr>
        <w:t>Optical Communications Revenue: The dominant revenue contributor, driven by transceiver modules, coherent subsystems, and switching components, with growth accelerating from AI-related datacenter interconnect demand and 800G platform ramps.</w:t>
      </w:r>
    </w:p>
    <w:p w14:paraId="5BD810E7" w14:textId="77777777" w:rsidR="001E04E3" w:rsidRPr="001E04E3" w:rsidRDefault="001E04E3" w:rsidP="001E04E3">
      <w:pPr>
        <w:pStyle w:val="font-claude-response-body"/>
        <w:numPr>
          <w:ilvl w:val="0"/>
          <w:numId w:val="26"/>
        </w:numPr>
        <w:jc w:val="both"/>
        <w:rPr>
          <w:rFonts w:asciiTheme="majorBidi" w:hAnsiTheme="majorBidi" w:cstheme="majorBidi"/>
          <w:sz w:val="28"/>
          <w:szCs w:val="28"/>
        </w:rPr>
      </w:pPr>
      <w:r w:rsidRPr="001E04E3">
        <w:rPr>
          <w:rFonts w:asciiTheme="majorBidi" w:hAnsiTheme="majorBidi" w:cstheme="majorBidi"/>
          <w:sz w:val="28"/>
          <w:szCs w:val="28"/>
        </w:rPr>
        <w:t>Advanced Industrial, Automotive, and Other Revenue: Derived from precision laser systems, automotive electronics, medical devices, and sensing components, with cyclical exposure to industrial capital expenditure and automotive production cycles.</w:t>
      </w:r>
    </w:p>
    <w:p w14:paraId="70361443" w14:textId="65B44972"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Key Activities and Resources</w:t>
      </w:r>
    </w:p>
    <w:p w14:paraId="0B0D5F83" w14:textId="6A699997"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Core activities include precision optical assembly and alignment at scale; advanced circuit board assembly and integration; rigorous in-process and final test execution; supply chain management and component procurement; and continuous process engineering and yield improvement. Critical resources include proprietary cleanroom manufacturing infrastructure across Thailand campuses; a highly skilled workforce of over 16,000 employees with deep optical and electro-mechanical expertise; established ISO and automotive-grade quality management systems; and long-standing OEM customer relationships spanning multiple technology generations.</w:t>
      </w:r>
    </w:p>
    <w:p w14:paraId="793FFD53" w14:textId="26E64173"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Key Partnerships and Cost Structure</w:t>
      </w:r>
    </w:p>
    <w:p w14:paraId="205429C1" w14:textId="00BD4D02" w:rsidR="008D2571"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 xml:space="preserve">Deep partnerships with hyperscalers and major data center operators have translated into recurring, high-volume contracts and elevated switching costs, with NVIDIA and leading AI infrastructure builders among the key demand drivers. Component supply relationships with optical chip, photonics, and passive component vendors are strategically managed to ensure supply continuity for high-complexity programs. The cost structure is primarily driven by direct materials (the dominant cost element, consistent with a manufacturing services model); direct labor and cleanroom facility operating costs at Thai campuses; engineering and process development expenses for new program qualifications; and capital expenditure for manufacturing equipment and capacity expansion. The company's Thailand-centric footprint and lean overhead model underpin superior cost efficiency relative to higher-wage manufacturing geographies. </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lastRenderedPageBreak/>
        <w:t>แหล่งที่มาของข้อมูล</w:t>
      </w:r>
    </w:p>
    <w:p w14:paraId="1DD5D720" w14:textId="4492BEF8" w:rsidR="00222249" w:rsidRPr="001457EB" w:rsidRDefault="00966D67" w:rsidP="008E64CF">
      <w:pPr>
        <w:spacing w:after="0"/>
        <w:ind w:right="52"/>
        <w:rPr>
          <w:rFonts w:asciiTheme="majorBidi" w:hAnsiTheme="majorBidi" w:cstheme="majorBidi"/>
          <w:sz w:val="28"/>
        </w:rPr>
      </w:pPr>
      <w:permStart w:id="538801036" w:edGrp="everyone"/>
      <w:r w:rsidRPr="00966D67">
        <w:rPr>
          <w:rFonts w:asciiTheme="majorBidi" w:hAnsiTheme="majorBidi" w:cstheme="majorBidi"/>
          <w:sz w:val="28"/>
        </w:rPr>
        <w:t>https://investor.fabrinet.com/financial-information/sec-filings</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https://fabrinet.com/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https://investor.fabrinet.com/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https://investor.fabrinet.com/press-releases</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แนสแด็ก (NASDAQ)</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1"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1"/>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lastRenderedPageBreak/>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2" w:name="_Hlk102053431"/>
      <w:r w:rsidRPr="00BD7623">
        <w:rPr>
          <w:rFonts w:ascii="Angsana New" w:eastAsia="Times New Roman" w:hAnsi="Angsana New" w:cs="Angsana New"/>
          <w:sz w:val="28"/>
          <w:cs/>
        </w:rPr>
        <w:t xml:space="preserve"> </w:t>
      </w:r>
      <w:bookmarkEnd w:id="12"/>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13"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14"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14"/>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13"/>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15"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15"/>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2D8A6" w14:textId="77777777" w:rsidR="007924DA" w:rsidRDefault="007924DA" w:rsidP="00105AC2">
      <w:pPr>
        <w:spacing w:after="0" w:line="240" w:lineRule="auto"/>
      </w:pPr>
      <w:r>
        <w:separator/>
      </w:r>
    </w:p>
  </w:endnote>
  <w:endnote w:type="continuationSeparator" w:id="0">
    <w:p w14:paraId="735C1717" w14:textId="77777777" w:rsidR="007924DA" w:rsidRDefault="007924DA" w:rsidP="00105AC2">
      <w:pPr>
        <w:spacing w:after="0" w:line="240" w:lineRule="auto"/>
      </w:pPr>
      <w:r>
        <w:continuationSeparator/>
      </w:r>
    </w:p>
  </w:endnote>
  <w:endnote w:type="continuationNotice" w:id="1">
    <w:p w14:paraId="1967E340" w14:textId="77777777" w:rsidR="007924DA" w:rsidRDefault="007924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DD96F" w14:textId="77777777" w:rsidR="007924DA" w:rsidRDefault="007924DA" w:rsidP="00105AC2">
      <w:pPr>
        <w:spacing w:after="0" w:line="240" w:lineRule="auto"/>
      </w:pPr>
      <w:r>
        <w:separator/>
      </w:r>
    </w:p>
  </w:footnote>
  <w:footnote w:type="continuationSeparator" w:id="0">
    <w:p w14:paraId="09791605" w14:textId="77777777" w:rsidR="007924DA" w:rsidRDefault="007924DA" w:rsidP="00105AC2">
      <w:pPr>
        <w:spacing w:after="0" w:line="240" w:lineRule="auto"/>
      </w:pPr>
      <w:r>
        <w:continuationSeparator/>
      </w:r>
    </w:p>
  </w:footnote>
  <w:footnote w:type="continuationNotice" w:id="1">
    <w:p w14:paraId="2D48FCD3" w14:textId="77777777" w:rsidR="007924DA" w:rsidRDefault="007924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DC3728"/>
    <w:multiLevelType w:val="multilevel"/>
    <w:tmpl w:val="606E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156520"/>
    <w:multiLevelType w:val="multilevel"/>
    <w:tmpl w:val="82FA4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AA53CC"/>
    <w:multiLevelType w:val="multilevel"/>
    <w:tmpl w:val="24E0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4" w15:restartNumberingAfterBreak="0">
    <w:nsid w:val="7EB954B4"/>
    <w:multiLevelType w:val="multilevel"/>
    <w:tmpl w:val="68F0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904218336">
    <w:abstractNumId w:val="15"/>
  </w:num>
  <w:num w:numId="2" w16cid:durableId="432433966">
    <w:abstractNumId w:val="18"/>
  </w:num>
  <w:num w:numId="3" w16cid:durableId="1072654976">
    <w:abstractNumId w:val="13"/>
  </w:num>
  <w:num w:numId="4" w16cid:durableId="2060665107">
    <w:abstractNumId w:val="2"/>
  </w:num>
  <w:num w:numId="5" w16cid:durableId="62728111">
    <w:abstractNumId w:val="10"/>
  </w:num>
  <w:num w:numId="6" w16cid:durableId="1192258563">
    <w:abstractNumId w:val="22"/>
  </w:num>
  <w:num w:numId="7" w16cid:durableId="165171493">
    <w:abstractNumId w:val="4"/>
  </w:num>
  <w:num w:numId="8" w16cid:durableId="1607152925">
    <w:abstractNumId w:val="23"/>
  </w:num>
  <w:num w:numId="9" w16cid:durableId="1805849652">
    <w:abstractNumId w:val="5"/>
  </w:num>
  <w:num w:numId="10" w16cid:durableId="1720977789">
    <w:abstractNumId w:val="9"/>
  </w:num>
  <w:num w:numId="11" w16cid:durableId="1839729596">
    <w:abstractNumId w:val="3"/>
  </w:num>
  <w:num w:numId="12" w16cid:durableId="1502041268">
    <w:abstractNumId w:val="17"/>
  </w:num>
  <w:num w:numId="13" w16cid:durableId="1834485100">
    <w:abstractNumId w:val="20"/>
  </w:num>
  <w:num w:numId="14" w16cid:durableId="1752965613">
    <w:abstractNumId w:val="1"/>
  </w:num>
  <w:num w:numId="15" w16cid:durableId="1687099595">
    <w:abstractNumId w:val="0"/>
  </w:num>
  <w:num w:numId="16" w16cid:durableId="1924299205">
    <w:abstractNumId w:val="7"/>
  </w:num>
  <w:num w:numId="17" w16cid:durableId="1178614670">
    <w:abstractNumId w:val="11"/>
  </w:num>
  <w:num w:numId="18" w16cid:durableId="295449875">
    <w:abstractNumId w:val="6"/>
  </w:num>
  <w:num w:numId="19" w16cid:durableId="847721484">
    <w:abstractNumId w:val="21"/>
  </w:num>
  <w:num w:numId="20" w16cid:durableId="347566755">
    <w:abstractNumId w:val="12"/>
  </w:num>
  <w:num w:numId="21" w16cid:durableId="1500846216">
    <w:abstractNumId w:val="19"/>
  </w:num>
  <w:num w:numId="22" w16cid:durableId="490147644">
    <w:abstractNumId w:val="25"/>
  </w:num>
  <w:num w:numId="23" w16cid:durableId="1775049284">
    <w:abstractNumId w:val="14"/>
  </w:num>
  <w:num w:numId="24" w16cid:durableId="1239707461">
    <w:abstractNumId w:val="16"/>
  </w:num>
  <w:num w:numId="25" w16cid:durableId="176045106">
    <w:abstractNumId w:val="24"/>
  </w:num>
  <w:num w:numId="26" w16cid:durableId="494883607">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ZWNmMzZhMDYtN2E5OC00Mzc3LTkzYWItMDhlNTExZWQxOTIxXCIsXCI5ZTRlOTM4Yi00"/>
    <w:docVar w:name="GVData0" w:val="OWQ1LTRmYjctYWNlZi04ZTYzYjQ4ZDYyOWFcIixcImE5NWE0NzAzLTVlNjgtNDM0Ni1hOTMyLTg5MjM3ODcyMjc4ZVwiLFwiZDhkNGJhN2EtZTI1MC00ZGI4LWEzMzctN2ZiMWIxNTAzODAwXCIsXCI0ZmIxOGM4MC0zMGQ5LTQ1NDAtODE0NC1mMmQ3MDQyNWQyZGVc"/>
    <w:docVar w:name="GVData1" w:val="IixcIjcxZTllOTY5LTdjM2QtNGE5Ni1hNjExLTg0ZWM1NmFlYTQwNVwiLFwiMjRhYTEwMDYtZWYwNS00ZmNkLThhNWYtM2FkZGM0ODU4NDRkXCIsXCIzYzQyMTA3MC1mMjUyLTQ1ZTktODk1Mi02NjhjNzdkOWVlZGJcIixcIjY0ZDAzMDllLTgzYjEtNGM0My05YjVh"/>
    <w:docVar w:name="GVData2" w:val="LTI1NmFhN2VkYzVjM1wiLFwiZGU1ZDYyMDMtZDZkMy00MGJmLThiMTUtMGVmZTlkYjU3N2RjXCJdIiwid3JpdHRlbktleXMiOiJbXCJndmRvY2lkXCIsXCJDbGFzc2lmaWNhdGlvblwiLFwiQ3VzdG9tZXJOYW1lXCIsXCJGaWxlSWRcIixcIlVzZXJJZFwiLFwiVGFn"/>
    <w:docVar w:name="GVData3" w:val="RGF0ZVRpbWVcIixcIktUQlwiLFwiQ2xhc3NpZmljYXRpb25HdWlkXCJdIiwibm9PZkd2RGF0YUVudHJpZXMiOiI3IiwibGluZUlkIjoiMzk0NWI5N2UtMDc5Yi00ZGQ4LTk2MWEtODg5NWJlYmZlNTAw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6-18T04:45:40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5F27"/>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04E3"/>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57B1"/>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4DA"/>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1E3D"/>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D67"/>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557A"/>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8725E"/>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1E04E3"/>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1E04E3"/>
    <w:rPr>
      <w:b/>
      <w:bCs/>
    </w:rPr>
  </w:style>
  <w:style w:type="character" w:customStyle="1" w:styleId="inline-flex">
    <w:name w:val="inline-flex"/>
    <w:basedOn w:val="DefaultParagraphFont"/>
    <w:rsid w:val="001E04E3"/>
  </w:style>
  <w:style w:type="character" w:customStyle="1" w:styleId="text-nowrap">
    <w:name w:val="text-nowrap"/>
    <w:basedOn w:val="DefaultParagraphFont"/>
    <w:rsid w:val="001E0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30</TotalTime>
  <Pages>14</Pages>
  <Words>6029</Words>
  <Characters>31476</Characters>
  <Application>Microsoft Office Word</Application>
  <DocSecurity>8</DocSecurity>
  <Lines>408</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37322</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12</cp:revision>
  <cp:lastPrinted>2025-12-16T04:53:00Z</cp:lastPrinted>
  <dcterms:created xsi:type="dcterms:W3CDTF">2026-04-27T09:24:00Z</dcterms:created>
  <dcterms:modified xsi:type="dcterms:W3CDTF">2026-06-18T04:45:00Z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2569-06-18T04:45:40Z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eyJPUyI6IldpbmRvd3MiLCJkb2NJRCI6IjZlMjc0YWIzLTcyZDEtNGFjYi1hNzc5LWFlNzBlZWFhOGI0ZiIsImRvY1N0YXRlIjoie30iLCJwYXJlbnRMaW5lSWRzIjoiW1wiZWNmMzZhMDYtN2E5OC00Mzc3LTkzYWItMDhlNTExZWQxOTIxXCIsXCI5ZTRlOTM4Yi00</vt:lpwstr>
  </property>
  <property fmtid="{D5CDD505-2E9C-101B-9397-08002B2CF9AE}" pid="9" name="GVData0">
    <vt:lpwstr>OWQ1LTRmYjctYWNlZi04ZTYzYjQ4ZDYyOWFcIixcImE5NWE0NzAzLTVlNjgtNDM0Ni1hOTMyLTg5MjM3ODcyMjc4ZVwiLFwiZDhkNGJhN2EtZTI1MC00ZGI4LWEzMzctN2ZiMWIxNTAzODAwXCIsXCI0ZmIxOGM4MC0zMGQ5LTQ1NDAtODE0NC1mMmQ3MDQyNWQyZGVc</vt:lpwstr>
  </property>
  <property fmtid="{D5CDD505-2E9C-101B-9397-08002B2CF9AE}" pid="10" name="GVData1">
    <vt:lpwstr>IixcIjcxZTllOTY5LTdjM2QtNGE5Ni1hNjExLTg0ZWM1NmFlYTQwNVwiLFwiMjRhYTEwMDYtZWYwNS00ZmNkLThhNWYtM2FkZGM0ODU4NDRkXCIsXCIzYzQyMTA3MC1mMjUyLTQ1ZTktODk1Mi02NjhjNzdkOWVlZGJcIixcIjY0ZDAzMDllLTgzYjEtNGM0My05YjVh</vt:lpwstr>
  </property>
  <property fmtid="{D5CDD505-2E9C-101B-9397-08002B2CF9AE}" pid="11" name="GVData2">
    <vt:lpwstr>LTI1NmFhN2VkYzVjM1wiLFwiZGU1ZDYyMDMtZDZkMy00MGJmLThiMTUtMGVmZTlkYjU3N2RjXCJdIiwid3JpdHRlbktleXMiOiJbXCJndmRvY2lkXCIsXCJDbGFzc2lmaWNhdGlvblwiLFwiQ3VzdG9tZXJOYW1lXCIsXCJGaWxlSWRcIixcIlVzZXJJZFwiLFwiVGFn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RGF0ZVRpbWVcIixcIktUQlwiLFwiQ2xhc3NpZmljYXRpb25HdWlkXCJdIiwibm9PZkd2RGF0YUVudHJpZXMiOiI3IiwibGluZUlkIjoiMzk0NWI5N2UtMDc5Yi00ZGQ4LTk2MWEtODg5NWJlYmZlNTAwIiwidGFnc2V0X2UxNjQwOWE3XzE3MDBfNDE1M185MDkwXzM5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