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CREDO TECHNOLOGY GROUP HOLDING LTD.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CREDO TECHNOLOGY GROUP HOLDING LTD.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CREDO TECHNOLOGY GROUP HOLDING LTD.</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CREDO TECHNOLOGY GROUP HOLDING LTD.</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แนสแด็ก (NASDAQ)</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CREDO TECHNOLOGY GROUP HOLDING LTD. ("CREDO")</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95471FD"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CREDO TECHNOLOGY GROUP HOLDING LTD.</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แนสแด็ก (NASDAQ)</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CRDO80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15699B24"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87222E">
        <w:rPr>
          <w:rFonts w:asciiTheme="majorBidi" w:hAnsiTheme="majorBidi" w:cs="Angsana New"/>
          <w:b/>
          <w:bCs/>
          <w:noProof/>
          <w:sz w:val="28"/>
        </w:rPr>
        <w:t>2,5</w:t>
      </w:r>
      <w:r w:rsidR="00A27AC1">
        <w:rPr>
          <w:rFonts w:asciiTheme="majorBidi" w:hAnsiTheme="majorBidi" w:cs="Angsana New"/>
          <w:b/>
          <w:bCs/>
          <w:noProof/>
          <w:sz w:val="28"/>
        </w:rPr>
        <w:t>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45306702"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hint="cs"/>
          <w:color w:val="000000"/>
          <w:sz w:val="28"/>
          <w:cs/>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347189">
        <w:rPr>
          <w:rFonts w:ascii="Angsana New" w:eastAsia="Times New Roman" w:hAnsi="Angsana New" w:cs="Angsana New" w:hint="cs"/>
          <w:sz w:val="28"/>
          <w:cs/>
        </w:rPr>
        <w:t xml:space="preserve">ไม่เกิน </w:t>
      </w:r>
      <w:r w:rsidR="00347189">
        <w:rPr>
          <w:rFonts w:ascii="Angsana New" w:eastAsia="Times New Roman" w:hAnsi="Angsana New" w:cs="Angsana New"/>
          <w:sz w:val="28"/>
        </w:rPr>
        <w:t xml:space="preserve">3,400 </w:t>
      </w:r>
      <w:r w:rsidR="00347189">
        <w:rPr>
          <w:rFonts w:ascii="Angsana New" w:eastAsia="Times New Roman" w:hAnsi="Angsana New" w:cs="Angsana New" w:hint="cs"/>
          <w:sz w:val="28"/>
          <w:cs/>
        </w:rPr>
        <w:t>ล้านหน่วย</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CREDO TECHNOLOGY GROUP HOLDING LTD.</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PO Box 309, Ugland House</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Grand Cayman, Cayman Islands, KY1-1104</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+1 408 664 9329</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https://credosemi.com/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แนสแด็ก (NASDAQ)</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https://www.nasdaq.com/market-activity/stocks/crdo</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28A0263E" w14:textId="22E7CF73"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Overview</w:t>
      </w:r>
    </w:p>
    <w:p w14:paraId="41E95F0C" w14:textId="28F70C50" w:rsidR="00DE2959" w:rsidRPr="00DE2959" w:rsidRDefault="00DE2959" w:rsidP="00CF0958">
      <w:pPr>
        <w:pStyle w:val="font-claude-response-body"/>
        <w:ind w:firstLine="720"/>
        <w:jc w:val="both"/>
        <w:rPr>
          <w:rFonts w:asciiTheme="majorBidi" w:hAnsiTheme="majorBidi" w:cstheme="majorBidi"/>
          <w:sz w:val="28"/>
          <w:szCs w:val="28"/>
        </w:rPr>
      </w:pPr>
      <w:r w:rsidRPr="00DE2959">
        <w:rPr>
          <w:rFonts w:asciiTheme="majorBidi" w:hAnsiTheme="majorBidi" w:cstheme="majorBidi"/>
          <w:sz w:val="28"/>
          <w:szCs w:val="28"/>
        </w:rPr>
        <w:t>Credo Technology Group Holding Ltd is a high-growth semiconductor company building the critical high-speed connectivity infrastructure that underpins modern AI data centers and hyperscale computing. Founded in 2008 and headquartered in the Cayman Islands, the company operates as a specialized silicon and intellectual property engine focused on solving the fundamental bandwidth, power, and signal integrity constraints that bottleneck next-generation AI and cloud workloads. The company designs, develops, and delivers cutting-edge active electrical cable solutions, digital signal processors, serializer/deserializer chiplets, physical-layer integrated circuits, and SerDes IP licensing that enable the extreme data throughput requirements of today's largest compute clusters.</w:t>
      </w:r>
    </w:p>
    <w:p w14:paraId="43041296" w14:textId="58394ACA"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Principal Business Operations</w:t>
      </w:r>
    </w:p>
    <w:p w14:paraId="30F01B30" w14:textId="55052FB5" w:rsidR="00DE2959" w:rsidRPr="00DE2959" w:rsidRDefault="00DE2959" w:rsidP="00CF0958">
      <w:pPr>
        <w:pStyle w:val="font-claude-response-body"/>
        <w:ind w:firstLine="360"/>
        <w:jc w:val="both"/>
        <w:rPr>
          <w:rFonts w:asciiTheme="majorBidi" w:hAnsiTheme="majorBidi" w:cstheme="majorBidi"/>
          <w:sz w:val="28"/>
          <w:szCs w:val="28"/>
        </w:rPr>
      </w:pPr>
      <w:r w:rsidRPr="00DE2959">
        <w:rPr>
          <w:rFonts w:asciiTheme="majorBidi" w:hAnsiTheme="majorBidi" w:cstheme="majorBidi"/>
          <w:sz w:val="28"/>
          <w:szCs w:val="28"/>
        </w:rPr>
        <w:lastRenderedPageBreak/>
        <w:t>The operations are centered on a focused, vertically integrated semiconductor design ecosystem across three core product pillars:</w:t>
      </w:r>
    </w:p>
    <w:p w14:paraId="064FD363" w14:textId="77777777" w:rsidR="00DE2959" w:rsidRPr="00DE2959" w:rsidRDefault="00DE2959" w:rsidP="00CF0958">
      <w:pPr>
        <w:pStyle w:val="font-claude-response-body"/>
        <w:numPr>
          <w:ilvl w:val="0"/>
          <w:numId w:val="23"/>
        </w:numPr>
        <w:jc w:val="both"/>
        <w:rPr>
          <w:rFonts w:asciiTheme="majorBidi" w:hAnsiTheme="majorBidi" w:cstheme="majorBidi"/>
          <w:sz w:val="28"/>
          <w:szCs w:val="28"/>
        </w:rPr>
      </w:pPr>
      <w:r w:rsidRPr="00DE2959">
        <w:rPr>
          <w:rFonts w:asciiTheme="majorBidi" w:hAnsiTheme="majorBidi" w:cstheme="majorBidi"/>
          <w:sz w:val="28"/>
          <w:szCs w:val="28"/>
        </w:rPr>
        <w:t>Connectivity Solutions: Encompasses the HiWire Active Electrical Cable product family — including HiWire CLOS, SPAN, SHIFT, and SWITCH variants — delivering high-bandwidth, low-power, low-latency interconnects designed to replace traditional passive copper and optical cabling inside hyperscale data center switching fabrics and AI training clusters.</w:t>
      </w:r>
    </w:p>
    <w:p w14:paraId="3F6D335D" w14:textId="77777777" w:rsidR="00DE2959" w:rsidRPr="00DE2959" w:rsidRDefault="00DE2959" w:rsidP="00CF0958">
      <w:pPr>
        <w:pStyle w:val="font-claude-response-body"/>
        <w:numPr>
          <w:ilvl w:val="0"/>
          <w:numId w:val="23"/>
        </w:numPr>
        <w:jc w:val="both"/>
        <w:rPr>
          <w:rFonts w:asciiTheme="majorBidi" w:hAnsiTheme="majorBidi" w:cstheme="majorBidi"/>
          <w:sz w:val="28"/>
          <w:szCs w:val="28"/>
        </w:rPr>
      </w:pPr>
      <w:r w:rsidRPr="00DE2959">
        <w:rPr>
          <w:rFonts w:asciiTheme="majorBidi" w:hAnsiTheme="majorBidi" w:cstheme="majorBidi"/>
          <w:sz w:val="28"/>
          <w:szCs w:val="28"/>
        </w:rPr>
        <w:t>Silicon Products: Includes optical PAM4 digital signal processors, low-power line card PHYs, PCIe retimer solutions, and SerDes chiplets targeting optical module manufacturers, original equipment manufacturers, and original design manufacturers deploying 400G, 800G, and 1.6T Ethernet infrastructure.</w:t>
      </w:r>
    </w:p>
    <w:p w14:paraId="5B584BAD" w14:textId="77777777" w:rsidR="00DE2959" w:rsidRPr="00DE2959" w:rsidRDefault="00DE2959" w:rsidP="00CF0958">
      <w:pPr>
        <w:pStyle w:val="font-claude-response-body"/>
        <w:numPr>
          <w:ilvl w:val="0"/>
          <w:numId w:val="23"/>
        </w:numPr>
        <w:jc w:val="both"/>
        <w:rPr>
          <w:rFonts w:asciiTheme="majorBidi" w:hAnsiTheme="majorBidi" w:cstheme="majorBidi"/>
          <w:sz w:val="28"/>
          <w:szCs w:val="28"/>
        </w:rPr>
      </w:pPr>
      <w:r w:rsidRPr="00DE2959">
        <w:rPr>
          <w:rFonts w:asciiTheme="majorBidi" w:hAnsiTheme="majorBidi" w:cstheme="majorBidi"/>
          <w:sz w:val="28"/>
          <w:szCs w:val="28"/>
        </w:rPr>
        <w:t>Intellectual Property Licensing: Driven by the company's proprietary SerDes IP portfolio, licensed to semiconductor companies and system builders requiring custom high-speed interface designs embedded directly into their own silicon architectures.</w:t>
      </w:r>
    </w:p>
    <w:p w14:paraId="4357134A" w14:textId="7E8BD206"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Supply Chain and Infrastructure</w:t>
      </w:r>
    </w:p>
    <w:p w14:paraId="655C2455" w14:textId="721C50DD" w:rsidR="00DE2959" w:rsidRPr="00DE2959" w:rsidRDefault="00DE2959" w:rsidP="00CF0958">
      <w:pPr>
        <w:pStyle w:val="font-claude-response-body"/>
        <w:ind w:firstLine="720"/>
        <w:jc w:val="both"/>
        <w:rPr>
          <w:rFonts w:asciiTheme="majorBidi" w:hAnsiTheme="majorBidi" w:cstheme="majorBidi"/>
          <w:sz w:val="28"/>
          <w:szCs w:val="28"/>
        </w:rPr>
      </w:pPr>
      <w:r w:rsidRPr="00DE2959">
        <w:rPr>
          <w:rFonts w:asciiTheme="majorBidi" w:hAnsiTheme="majorBidi" w:cstheme="majorBidi"/>
          <w:sz w:val="28"/>
          <w:szCs w:val="28"/>
        </w:rPr>
        <w:t>The company operates a fabless semiconductor model, outsourcing wafer fabrication to leading foundry partners while retaining full ownership of chip architecture, signal processing algorithms, firmware, and system-level design. Engineering operations span offices in San Jose, California; Bangalore, India; and Zhubei, Taiwan, providing global design and customer support coverage. The company has expanded its capabilities through the acquisition of DustPhotonics, adding co-packaged optics and photonic integrated circuit expertise, and through a strategic partnership with Rebellions to build enterprise AI factory infrastructure.</w:t>
      </w:r>
    </w:p>
    <w:p w14:paraId="0F82DAFD" w14:textId="2A17E797"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Strategy and Future Prospects</w:t>
      </w:r>
    </w:p>
    <w:p w14:paraId="1AEAADB8" w14:textId="2B379CB0" w:rsidR="00DE2959" w:rsidRPr="00DE2959" w:rsidRDefault="00DE2959" w:rsidP="00CF0958">
      <w:pPr>
        <w:pStyle w:val="font-claude-response-body"/>
        <w:ind w:firstLine="360"/>
        <w:jc w:val="both"/>
        <w:rPr>
          <w:rFonts w:asciiTheme="majorBidi" w:hAnsiTheme="majorBidi" w:cstheme="majorBidi"/>
          <w:sz w:val="28"/>
          <w:szCs w:val="28"/>
        </w:rPr>
      </w:pPr>
      <w:r w:rsidRPr="00DE2959">
        <w:rPr>
          <w:rFonts w:asciiTheme="majorBidi" w:hAnsiTheme="majorBidi" w:cstheme="majorBidi"/>
          <w:sz w:val="28"/>
          <w:szCs w:val="28"/>
        </w:rPr>
        <w:t>The strategy is built on capitalizing on the structural explosion in AI infrastructure spending and the resulting insatiable demand for bandwidth-dense, power-efficient data center interconnects. Key strategic pillars include:</w:t>
      </w:r>
    </w:p>
    <w:p w14:paraId="38172158" w14:textId="77777777" w:rsidR="00DE2959" w:rsidRPr="00DE2959" w:rsidRDefault="00DE2959" w:rsidP="00CF0958">
      <w:pPr>
        <w:pStyle w:val="font-claude-response-body"/>
        <w:numPr>
          <w:ilvl w:val="0"/>
          <w:numId w:val="24"/>
        </w:numPr>
        <w:jc w:val="both"/>
        <w:rPr>
          <w:rFonts w:asciiTheme="majorBidi" w:hAnsiTheme="majorBidi" w:cstheme="majorBidi"/>
          <w:sz w:val="28"/>
          <w:szCs w:val="28"/>
        </w:rPr>
      </w:pPr>
      <w:r w:rsidRPr="00DE2959">
        <w:rPr>
          <w:rFonts w:asciiTheme="majorBidi" w:hAnsiTheme="majorBidi" w:cstheme="majorBidi"/>
          <w:sz w:val="28"/>
          <w:szCs w:val="28"/>
        </w:rPr>
        <w:t>Hyperscaler Penetration and Concentration: Deepening wallet share within the world's largest cloud and AI infrastructure operators deploying custom AI accelerator clusters requiring hundreds of thousands of high-speed interconnect links per facility.</w:t>
      </w:r>
    </w:p>
    <w:p w14:paraId="6A66FAF8" w14:textId="77777777" w:rsidR="00DE2959" w:rsidRPr="00DE2959" w:rsidRDefault="00DE2959" w:rsidP="00CF0958">
      <w:pPr>
        <w:pStyle w:val="font-claude-response-body"/>
        <w:numPr>
          <w:ilvl w:val="0"/>
          <w:numId w:val="24"/>
        </w:numPr>
        <w:jc w:val="both"/>
        <w:rPr>
          <w:rFonts w:asciiTheme="majorBidi" w:hAnsiTheme="majorBidi" w:cstheme="majorBidi"/>
          <w:sz w:val="28"/>
          <w:szCs w:val="28"/>
        </w:rPr>
      </w:pPr>
      <w:r w:rsidRPr="00DE2959">
        <w:rPr>
          <w:rFonts w:asciiTheme="majorBidi" w:hAnsiTheme="majorBidi" w:cstheme="majorBidi"/>
          <w:sz w:val="28"/>
          <w:szCs w:val="28"/>
        </w:rPr>
        <w:t>Technology Generation Leadership: Maintaining a consistent lead in SerDes speed and power efficiency ahead of each successive Ethernet generational transition, targeting 1.6T and beyond as the next major upgrade cycle.</w:t>
      </w:r>
    </w:p>
    <w:p w14:paraId="0BB6D94F" w14:textId="77777777" w:rsidR="00DE2959" w:rsidRPr="00DE2959" w:rsidRDefault="00DE2959" w:rsidP="00CF0958">
      <w:pPr>
        <w:pStyle w:val="font-claude-response-body"/>
        <w:numPr>
          <w:ilvl w:val="0"/>
          <w:numId w:val="24"/>
        </w:numPr>
        <w:jc w:val="both"/>
        <w:rPr>
          <w:rFonts w:asciiTheme="majorBidi" w:hAnsiTheme="majorBidi" w:cstheme="majorBidi"/>
          <w:sz w:val="28"/>
          <w:szCs w:val="28"/>
        </w:rPr>
      </w:pPr>
      <w:r w:rsidRPr="00DE2959">
        <w:rPr>
          <w:rFonts w:asciiTheme="majorBidi" w:hAnsiTheme="majorBidi" w:cstheme="majorBidi"/>
          <w:sz w:val="28"/>
          <w:szCs w:val="28"/>
        </w:rPr>
        <w:t>Co-packaged Optics Expansion: Leveraging the DustPhotonics acquisition to position the company at the intersection of electrical and optical connectivity as data center architects integrate photonic engines directly onto switch and accelerator packages.</w:t>
      </w:r>
    </w:p>
    <w:p w14:paraId="00BB5DAE" w14:textId="77777777" w:rsidR="00DE2959" w:rsidRPr="00DE2959" w:rsidRDefault="00DE2959" w:rsidP="00CF0958">
      <w:pPr>
        <w:pStyle w:val="font-claude-response-body"/>
        <w:numPr>
          <w:ilvl w:val="0"/>
          <w:numId w:val="24"/>
        </w:numPr>
        <w:jc w:val="both"/>
        <w:rPr>
          <w:rFonts w:asciiTheme="majorBidi" w:hAnsiTheme="majorBidi" w:cstheme="majorBidi"/>
          <w:sz w:val="28"/>
          <w:szCs w:val="28"/>
        </w:rPr>
      </w:pPr>
      <w:r w:rsidRPr="00DE2959">
        <w:rPr>
          <w:rFonts w:asciiTheme="majorBidi" w:hAnsiTheme="majorBidi" w:cstheme="majorBidi"/>
          <w:sz w:val="28"/>
          <w:szCs w:val="28"/>
        </w:rPr>
        <w:t>Enterprise AI Factory Build-out: Partnering with AI system integrators like Rebellions to extend the company's technology into enterprise-grade AI infrastructure deployments beyond the traditional hyperscaler base.</w:t>
      </w:r>
    </w:p>
    <w:p w14:paraId="05CD4D65" w14:textId="301EDE01"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lastRenderedPageBreak/>
        <w:t>Value Propositions</w:t>
      </w:r>
    </w:p>
    <w:p w14:paraId="2F05959B" w14:textId="3F283D88" w:rsidR="00DE2959" w:rsidRPr="00DE2959" w:rsidRDefault="00DE2959" w:rsidP="00CF0958">
      <w:pPr>
        <w:pStyle w:val="font-claude-response-body"/>
        <w:ind w:firstLine="720"/>
        <w:jc w:val="both"/>
        <w:rPr>
          <w:rFonts w:asciiTheme="majorBidi" w:hAnsiTheme="majorBidi" w:cstheme="majorBidi"/>
          <w:sz w:val="28"/>
          <w:szCs w:val="28"/>
        </w:rPr>
      </w:pPr>
      <w:r w:rsidRPr="00DE2959">
        <w:rPr>
          <w:rFonts w:asciiTheme="majorBidi" w:hAnsiTheme="majorBidi" w:cstheme="majorBidi"/>
          <w:sz w:val="28"/>
          <w:szCs w:val="28"/>
        </w:rPr>
        <w:t>The company aligns its value with the radical reduction of power consumption and signal degradation at extreme data rates. For hyperscalers and data center operators, it delivers active electrical cable solutions that eliminate the optical transceiver modules traditionally required for short-reach connections, cutting both cost and power draw per port. For silicon designers and system builders, its SerDes IP provides a battle-tested, high-performance interface foundation that dramatically reduces design risk and time-to-market for custom chips. For optical module makers and line card designers, its DSP and PHY products provide the signal processing horsepower needed to meet the most demanding next-generation Ethernet performance specifications.</w:t>
      </w:r>
    </w:p>
    <w:p w14:paraId="2E247C21" w14:textId="48BABE6D"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Customer Segments</w:t>
      </w:r>
    </w:p>
    <w:p w14:paraId="04493A66" w14:textId="3613BC1D" w:rsidR="00DE2959" w:rsidRPr="00DE2959" w:rsidRDefault="00DE2959" w:rsidP="00CF0958">
      <w:pPr>
        <w:pStyle w:val="font-claude-response-body"/>
        <w:ind w:firstLine="360"/>
        <w:jc w:val="both"/>
        <w:rPr>
          <w:rFonts w:asciiTheme="majorBidi" w:hAnsiTheme="majorBidi" w:cstheme="majorBidi"/>
          <w:sz w:val="28"/>
          <w:szCs w:val="28"/>
        </w:rPr>
      </w:pPr>
      <w:r w:rsidRPr="00DE2959">
        <w:rPr>
          <w:rFonts w:asciiTheme="majorBidi" w:hAnsiTheme="majorBidi" w:cstheme="majorBidi"/>
          <w:sz w:val="28"/>
          <w:szCs w:val="28"/>
        </w:rPr>
        <w:t>The company serves a concentrated but strategically critical base of global technology buyers:</w:t>
      </w:r>
    </w:p>
    <w:p w14:paraId="085206EE" w14:textId="77777777" w:rsidR="00DE2959" w:rsidRPr="00DE2959" w:rsidRDefault="00DE2959" w:rsidP="00CF0958">
      <w:pPr>
        <w:pStyle w:val="font-claude-response-body"/>
        <w:numPr>
          <w:ilvl w:val="0"/>
          <w:numId w:val="25"/>
        </w:numPr>
        <w:jc w:val="both"/>
        <w:rPr>
          <w:rFonts w:asciiTheme="majorBidi" w:hAnsiTheme="majorBidi" w:cstheme="majorBidi"/>
          <w:sz w:val="28"/>
          <w:szCs w:val="28"/>
        </w:rPr>
      </w:pPr>
      <w:r w:rsidRPr="00DE2959">
        <w:rPr>
          <w:rFonts w:asciiTheme="majorBidi" w:hAnsiTheme="majorBidi" w:cstheme="majorBidi"/>
          <w:sz w:val="28"/>
          <w:szCs w:val="28"/>
        </w:rPr>
        <w:t>Hyperscalers and Cloud Operators: The largest global cloud and AI infrastructure builders requiring massive quantities of high-speed AEC cables and PHY solutions to interconnect GPU clusters, switching fabrics, and storage systems inside purpose-built AI data center campuses.</w:t>
      </w:r>
    </w:p>
    <w:p w14:paraId="4DE08634" w14:textId="77777777" w:rsidR="00DE2959" w:rsidRPr="00DE2959" w:rsidRDefault="00DE2959" w:rsidP="00CF0958">
      <w:pPr>
        <w:pStyle w:val="font-claude-response-body"/>
        <w:numPr>
          <w:ilvl w:val="0"/>
          <w:numId w:val="25"/>
        </w:numPr>
        <w:jc w:val="both"/>
        <w:rPr>
          <w:rFonts w:asciiTheme="majorBidi" w:hAnsiTheme="majorBidi" w:cstheme="majorBidi"/>
          <w:sz w:val="28"/>
          <w:szCs w:val="28"/>
        </w:rPr>
      </w:pPr>
      <w:r w:rsidRPr="00DE2959">
        <w:rPr>
          <w:rFonts w:asciiTheme="majorBidi" w:hAnsiTheme="majorBidi" w:cstheme="majorBidi"/>
          <w:sz w:val="28"/>
          <w:szCs w:val="28"/>
        </w:rPr>
        <w:t>Original Equipment and Design Manufacturers: Networking and server hardware vendors integrating Credo's silicon into switches, line cards, and accelerator systems deployed across enterprise and cloud environments.</w:t>
      </w:r>
    </w:p>
    <w:p w14:paraId="398961C1" w14:textId="77777777" w:rsidR="00DE2959" w:rsidRPr="00DE2959" w:rsidRDefault="00DE2959" w:rsidP="00CF0958">
      <w:pPr>
        <w:pStyle w:val="font-claude-response-body"/>
        <w:numPr>
          <w:ilvl w:val="0"/>
          <w:numId w:val="25"/>
        </w:numPr>
        <w:jc w:val="both"/>
        <w:rPr>
          <w:rFonts w:asciiTheme="majorBidi" w:hAnsiTheme="majorBidi" w:cstheme="majorBidi"/>
          <w:sz w:val="28"/>
          <w:szCs w:val="28"/>
        </w:rPr>
      </w:pPr>
      <w:r w:rsidRPr="00DE2959">
        <w:rPr>
          <w:rFonts w:asciiTheme="majorBidi" w:hAnsiTheme="majorBidi" w:cstheme="majorBidi"/>
          <w:sz w:val="28"/>
          <w:szCs w:val="28"/>
        </w:rPr>
        <w:t>Optical Module Manufacturers: Makers of pluggable optical transceivers requiring high-performance DSP and SerDes components to meet the signal processing requirements of 400G, 800G, and emerging 1.6T form factors.</w:t>
      </w:r>
    </w:p>
    <w:p w14:paraId="6677F7A3" w14:textId="77777777" w:rsidR="00DE2959" w:rsidRPr="00DE2959" w:rsidRDefault="00DE2959" w:rsidP="00CF0958">
      <w:pPr>
        <w:pStyle w:val="font-claude-response-body"/>
        <w:numPr>
          <w:ilvl w:val="0"/>
          <w:numId w:val="25"/>
        </w:numPr>
        <w:jc w:val="both"/>
        <w:rPr>
          <w:rFonts w:asciiTheme="majorBidi" w:hAnsiTheme="majorBidi" w:cstheme="majorBidi"/>
          <w:sz w:val="28"/>
          <w:szCs w:val="28"/>
        </w:rPr>
      </w:pPr>
      <w:r w:rsidRPr="00DE2959">
        <w:rPr>
          <w:rFonts w:asciiTheme="majorBidi" w:hAnsiTheme="majorBidi" w:cstheme="majorBidi"/>
          <w:sz w:val="28"/>
          <w:szCs w:val="28"/>
        </w:rPr>
        <w:t>Semiconductor Licensees: Chip design companies and system-on-chip developers embedding Credo's SerDes IP directly into their own proprietary silicon to achieve high-speed interface performance without building the underlying technology from scratch.</w:t>
      </w:r>
    </w:p>
    <w:p w14:paraId="5D37A290" w14:textId="3A6454BD"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Customer Relationships</w:t>
      </w:r>
    </w:p>
    <w:p w14:paraId="23640FD8" w14:textId="343480A2" w:rsidR="00DE2959" w:rsidRPr="00DE2959" w:rsidRDefault="00DE2959" w:rsidP="00CF0958">
      <w:pPr>
        <w:pStyle w:val="font-claude-response-body"/>
        <w:ind w:firstLine="720"/>
        <w:jc w:val="both"/>
        <w:rPr>
          <w:rFonts w:asciiTheme="majorBidi" w:hAnsiTheme="majorBidi" w:cstheme="majorBidi"/>
          <w:sz w:val="28"/>
          <w:szCs w:val="28"/>
        </w:rPr>
      </w:pPr>
      <w:r w:rsidRPr="00DE2959">
        <w:rPr>
          <w:rFonts w:asciiTheme="majorBidi" w:hAnsiTheme="majorBidi" w:cstheme="majorBidi"/>
          <w:sz w:val="28"/>
          <w:szCs w:val="28"/>
        </w:rPr>
        <w:t>Trust is established through deep co-development engagements with hyperscale customers requiring highly customized connectivity solutions tightly integrated into their proprietary AI infrastructure architectures. Long-term stickiness is driven by the significant switching costs and qualification cycles associated with high-speed silicon deployments, where changing interconnect vendors mid-generation is prohibitively disruptive. The company reinforces relationships through direct field application engineering support embedded within customer design teams and continuous joint roadmap alignment tying Credo's product cycles to customer infrastructure upgrade schedules.</w:t>
      </w:r>
    </w:p>
    <w:p w14:paraId="45C485D4" w14:textId="1F4EFC5F"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Channels</w:t>
      </w:r>
    </w:p>
    <w:p w14:paraId="50C08CF6" w14:textId="0AD5C3C8" w:rsidR="00DE2959" w:rsidRPr="00DE2959" w:rsidRDefault="00DE2959" w:rsidP="00CF0958">
      <w:pPr>
        <w:pStyle w:val="font-claude-response-body"/>
        <w:ind w:firstLine="360"/>
        <w:jc w:val="both"/>
        <w:rPr>
          <w:rFonts w:asciiTheme="majorBidi" w:hAnsiTheme="majorBidi" w:cstheme="majorBidi"/>
          <w:sz w:val="28"/>
          <w:szCs w:val="28"/>
        </w:rPr>
      </w:pPr>
      <w:r w:rsidRPr="00DE2959">
        <w:rPr>
          <w:rFonts w:asciiTheme="majorBidi" w:hAnsiTheme="majorBidi" w:cstheme="majorBidi"/>
          <w:sz w:val="28"/>
          <w:szCs w:val="28"/>
        </w:rPr>
        <w:t>Operations and sales are conducted through a highly direct and relationship-intensive model:</w:t>
      </w:r>
    </w:p>
    <w:p w14:paraId="05EC9BC0" w14:textId="77777777" w:rsidR="00DE2959" w:rsidRPr="00DE2959" w:rsidRDefault="00DE2959" w:rsidP="00CF0958">
      <w:pPr>
        <w:pStyle w:val="font-claude-response-body"/>
        <w:numPr>
          <w:ilvl w:val="0"/>
          <w:numId w:val="26"/>
        </w:numPr>
        <w:jc w:val="both"/>
        <w:rPr>
          <w:rFonts w:asciiTheme="majorBidi" w:hAnsiTheme="majorBidi" w:cstheme="majorBidi"/>
          <w:sz w:val="28"/>
          <w:szCs w:val="28"/>
        </w:rPr>
      </w:pPr>
      <w:r w:rsidRPr="00DE2959">
        <w:rPr>
          <w:rFonts w:asciiTheme="majorBidi" w:hAnsiTheme="majorBidi" w:cstheme="majorBidi"/>
          <w:sz w:val="28"/>
          <w:szCs w:val="28"/>
        </w:rPr>
        <w:lastRenderedPageBreak/>
        <w:t>Direct Enterprise Sales: Named-account sales and field application engineering teams working directly with hyperscaler infrastructure procurement and hardware engineering organizations on current-generation deployments and next-generation co-development programs.</w:t>
      </w:r>
    </w:p>
    <w:p w14:paraId="611FDB2E" w14:textId="77777777" w:rsidR="00DE2959" w:rsidRPr="00DE2959" w:rsidRDefault="00DE2959" w:rsidP="00CF0958">
      <w:pPr>
        <w:pStyle w:val="font-claude-response-body"/>
        <w:numPr>
          <w:ilvl w:val="0"/>
          <w:numId w:val="26"/>
        </w:numPr>
        <w:jc w:val="both"/>
        <w:rPr>
          <w:rFonts w:asciiTheme="majorBidi" w:hAnsiTheme="majorBidi" w:cstheme="majorBidi"/>
          <w:sz w:val="28"/>
          <w:szCs w:val="28"/>
        </w:rPr>
      </w:pPr>
      <w:r w:rsidRPr="00DE2959">
        <w:rPr>
          <w:rFonts w:asciiTheme="majorBidi" w:hAnsiTheme="majorBidi" w:cstheme="majorBidi"/>
          <w:sz w:val="28"/>
          <w:szCs w:val="28"/>
        </w:rPr>
        <w:t>Distribution Partners: Selective use of authorized semiconductor distributors and value-added resellers to reach OEM and ODM customers across Asia-Pacific manufacturing hubs where Credo's products are integrated into networking hardware and optical module assemblies.</w:t>
      </w:r>
    </w:p>
    <w:p w14:paraId="0D520104" w14:textId="1DFDA80F"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Revenue Streams</w:t>
      </w:r>
    </w:p>
    <w:p w14:paraId="1E286A06" w14:textId="4A6E8786" w:rsidR="00DE2959" w:rsidRPr="00DE2959" w:rsidRDefault="00DE2959" w:rsidP="00CF0958">
      <w:pPr>
        <w:pStyle w:val="font-claude-response-body"/>
        <w:ind w:firstLine="360"/>
        <w:jc w:val="both"/>
        <w:rPr>
          <w:rFonts w:asciiTheme="majorBidi" w:hAnsiTheme="majorBidi" w:cstheme="majorBidi"/>
          <w:sz w:val="28"/>
          <w:szCs w:val="28"/>
        </w:rPr>
      </w:pPr>
      <w:r w:rsidRPr="00DE2959">
        <w:rPr>
          <w:rFonts w:asciiTheme="majorBidi" w:hAnsiTheme="majorBidi" w:cstheme="majorBidi"/>
          <w:sz w:val="28"/>
          <w:szCs w:val="28"/>
        </w:rPr>
        <w:t>Revenue is driven by a mix of high-volume product shipments and recurring intellectual property licensing fees:</w:t>
      </w:r>
    </w:p>
    <w:p w14:paraId="0F783AC1" w14:textId="77777777" w:rsidR="00DE2959" w:rsidRPr="00DE2959" w:rsidRDefault="00DE2959" w:rsidP="00CF0958">
      <w:pPr>
        <w:pStyle w:val="font-claude-response-body"/>
        <w:numPr>
          <w:ilvl w:val="0"/>
          <w:numId w:val="27"/>
        </w:numPr>
        <w:jc w:val="both"/>
        <w:rPr>
          <w:rFonts w:asciiTheme="majorBidi" w:hAnsiTheme="majorBidi" w:cstheme="majorBidi"/>
          <w:sz w:val="28"/>
          <w:szCs w:val="28"/>
        </w:rPr>
      </w:pPr>
      <w:r w:rsidRPr="00DE2959">
        <w:rPr>
          <w:rFonts w:asciiTheme="majorBidi" w:hAnsiTheme="majorBidi" w:cstheme="majorBidi"/>
          <w:sz w:val="28"/>
          <w:szCs w:val="28"/>
        </w:rPr>
        <w:t>Product Revenue: The dominant share of total revenue, generated through volume shipments of AEC cables, DSP integrated circuits, PHY chips, PCIe retimers, and SerDes chiplets to hyperscalers, OEMs, ODMs, and optical module manufacturers.</w:t>
      </w:r>
    </w:p>
    <w:p w14:paraId="1272B809" w14:textId="77777777" w:rsidR="00DE2959" w:rsidRPr="00DE2959" w:rsidRDefault="00DE2959" w:rsidP="00CF0958">
      <w:pPr>
        <w:pStyle w:val="font-claude-response-body"/>
        <w:numPr>
          <w:ilvl w:val="0"/>
          <w:numId w:val="27"/>
        </w:numPr>
        <w:jc w:val="both"/>
        <w:rPr>
          <w:rFonts w:asciiTheme="majorBidi" w:hAnsiTheme="majorBidi" w:cstheme="majorBidi"/>
          <w:sz w:val="28"/>
          <w:szCs w:val="28"/>
        </w:rPr>
      </w:pPr>
      <w:r w:rsidRPr="00DE2959">
        <w:rPr>
          <w:rFonts w:asciiTheme="majorBidi" w:hAnsiTheme="majorBidi" w:cstheme="majorBidi"/>
          <w:sz w:val="28"/>
          <w:szCs w:val="28"/>
        </w:rPr>
        <w:t>IP Licensing and Royalties: Derived from licensing agreements granting semiconductor companies access to Credo's proprietary SerDes IP, generating recurring royalty streams tied to licensee production volumes and design-win proliferation across the broader semiconductor ecosystem.</w:t>
      </w:r>
    </w:p>
    <w:p w14:paraId="28C7ED72" w14:textId="18ECFD3E"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Key Activities and Resources</w:t>
      </w:r>
    </w:p>
    <w:p w14:paraId="560AF467" w14:textId="67F7CEDD" w:rsidR="00DE2959" w:rsidRPr="00DE2959" w:rsidRDefault="00DE2959" w:rsidP="00CF0958">
      <w:pPr>
        <w:pStyle w:val="font-claude-response-body"/>
        <w:ind w:firstLine="720"/>
        <w:jc w:val="both"/>
        <w:rPr>
          <w:rFonts w:asciiTheme="majorBidi" w:hAnsiTheme="majorBidi" w:cstheme="majorBidi"/>
          <w:sz w:val="28"/>
          <w:szCs w:val="28"/>
        </w:rPr>
      </w:pPr>
      <w:r w:rsidRPr="00DE2959">
        <w:rPr>
          <w:rFonts w:asciiTheme="majorBidi" w:hAnsiTheme="majorBidi" w:cstheme="majorBidi"/>
          <w:sz w:val="28"/>
          <w:szCs w:val="28"/>
        </w:rPr>
        <w:t>Core activities include intensive research and development in next-generation SerDes architectures, signal processing algorithms, and high-speed analog and mixed-signal circuit design; high-cadence silicon tape-out and product qualification cycles targeting each successive Ethernet generational transition; and deep customer co-development programs aligning product roadmaps with hyperscaler infrastructure build-out timelines. Critical resources include a world-class team of analog, mixed-signal, and digital IC design engineers; a proprietary and expanding SerDes IP portfolio spanning multiple process nodes and speed tiers; strategic foundry relationships providing access to leading-edge CMOS process technology; and co-packaged optics capabilities acquired through DustPhotonics.</w:t>
      </w:r>
    </w:p>
    <w:p w14:paraId="021836FC" w14:textId="76021F0F" w:rsidR="00DE2959" w:rsidRPr="00DE2959" w:rsidRDefault="00DE2959" w:rsidP="00CF0958">
      <w:pPr>
        <w:pStyle w:val="font-claude-response-body"/>
        <w:jc w:val="both"/>
        <w:rPr>
          <w:rFonts w:asciiTheme="majorBidi" w:hAnsiTheme="majorBidi" w:cstheme="majorBidi"/>
          <w:sz w:val="28"/>
          <w:szCs w:val="28"/>
        </w:rPr>
      </w:pPr>
      <w:r w:rsidRPr="00DE2959">
        <w:rPr>
          <w:rStyle w:val="Strong"/>
          <w:rFonts w:asciiTheme="majorBidi" w:hAnsiTheme="majorBidi" w:cstheme="majorBidi"/>
          <w:sz w:val="28"/>
          <w:szCs w:val="28"/>
        </w:rPr>
        <w:t>Key Partnerships and Cost Structure</w:t>
      </w:r>
    </w:p>
    <w:p w14:paraId="205429C1" w14:textId="56BBEA4C" w:rsidR="008D2571" w:rsidRPr="00DE2959" w:rsidRDefault="00DE2959" w:rsidP="00CF0958">
      <w:pPr>
        <w:pStyle w:val="font-claude-response-body"/>
        <w:ind w:firstLine="720"/>
        <w:jc w:val="both"/>
        <w:rPr>
          <w:rFonts w:asciiTheme="majorBidi" w:hAnsiTheme="majorBidi" w:cstheme="majorBidi"/>
          <w:sz w:val="28"/>
          <w:szCs w:val="28"/>
        </w:rPr>
      </w:pPr>
      <w:r w:rsidRPr="00DE2959">
        <w:rPr>
          <w:rFonts w:asciiTheme="majorBidi" w:hAnsiTheme="majorBidi" w:cstheme="majorBidi"/>
          <w:sz w:val="28"/>
          <w:szCs w:val="28"/>
        </w:rPr>
        <w:t>Strategic partnerships include foundry relationships with leading semiconductor manufacturers; the DustPhotonics acquisition extending capabilities into photonic integrated circuits and co-packaged optics; the Rebellions collaboration enabling enterprise AI factory deployments; and distribution alliances with regional electronics distributors serving Asia-Pacific OEM and ODM manufacturing bases. The cost structure is primarily driven by research and development expenditures for next-generation silicon and IP platforms; wafer procurement and outsourced assembly and test costs tied to product shipment volumes; and personnel investment in elite analog, mixed-signal, and system-level engineering talent across global design centers.</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t>แหล่งที่มาของข้อมูล</w:t>
      </w:r>
    </w:p>
    <w:p w14:paraId="1DD5D720" w14:textId="0D14CB6B" w:rsidR="00222249" w:rsidRPr="001457EB" w:rsidRDefault="00DE2959" w:rsidP="008E64CF">
      <w:pPr>
        <w:spacing w:after="0"/>
        <w:ind w:right="52"/>
        <w:rPr>
          <w:rFonts w:asciiTheme="majorBidi" w:hAnsiTheme="majorBidi" w:cstheme="majorBidi"/>
          <w:sz w:val="28"/>
        </w:rPr>
      </w:pPr>
      <w:permStart w:id="538801036" w:edGrp="everyone"/>
      <w:r w:rsidRPr="00DE2959">
        <w:rPr>
          <w:rFonts w:asciiTheme="majorBidi" w:hAnsiTheme="majorBidi" w:cstheme="majorBidi"/>
          <w:sz w:val="28"/>
        </w:rPr>
        <w:t>https://investors.credosemi.com/financials/sec-filings/sec-filings-details/default.aspx?FilingId=17297611</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lastRenderedPageBreak/>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https://credosemi.com/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https://investors.credosemi.com/</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https://investors.credosemi.com/news/default.aspx</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แนสแด็ก (NASDAQ)</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lastRenderedPageBreak/>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4FDC1" w14:textId="77777777" w:rsidR="002C607D" w:rsidRDefault="002C607D" w:rsidP="00105AC2">
      <w:pPr>
        <w:spacing w:after="0" w:line="240" w:lineRule="auto"/>
      </w:pPr>
      <w:r>
        <w:separator/>
      </w:r>
    </w:p>
  </w:endnote>
  <w:endnote w:type="continuationSeparator" w:id="0">
    <w:p w14:paraId="3FD454E5" w14:textId="77777777" w:rsidR="002C607D" w:rsidRDefault="002C607D" w:rsidP="00105AC2">
      <w:pPr>
        <w:spacing w:after="0" w:line="240" w:lineRule="auto"/>
      </w:pPr>
      <w:r>
        <w:continuationSeparator/>
      </w:r>
    </w:p>
  </w:endnote>
  <w:endnote w:type="continuationNotice" w:id="1">
    <w:p w14:paraId="05BFE96E" w14:textId="77777777" w:rsidR="002C607D" w:rsidRDefault="002C60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F03D2" w14:textId="77777777" w:rsidR="002C607D" w:rsidRDefault="002C607D" w:rsidP="00105AC2">
      <w:pPr>
        <w:spacing w:after="0" w:line="240" w:lineRule="auto"/>
      </w:pPr>
      <w:r>
        <w:separator/>
      </w:r>
    </w:p>
  </w:footnote>
  <w:footnote w:type="continuationSeparator" w:id="0">
    <w:p w14:paraId="314CB3F9" w14:textId="77777777" w:rsidR="002C607D" w:rsidRDefault="002C607D" w:rsidP="00105AC2">
      <w:pPr>
        <w:spacing w:after="0" w:line="240" w:lineRule="auto"/>
      </w:pPr>
      <w:r>
        <w:continuationSeparator/>
      </w:r>
    </w:p>
  </w:footnote>
  <w:footnote w:type="continuationNotice" w:id="1">
    <w:p w14:paraId="4D244DDD" w14:textId="77777777" w:rsidR="002C607D" w:rsidRDefault="002C60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AA92C4B"/>
    <w:multiLevelType w:val="multilevel"/>
    <w:tmpl w:val="D78A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EF56141"/>
    <w:multiLevelType w:val="multilevel"/>
    <w:tmpl w:val="6DA2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2"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53D6C12"/>
    <w:multiLevelType w:val="multilevel"/>
    <w:tmpl w:val="6996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E36491"/>
    <w:multiLevelType w:val="multilevel"/>
    <w:tmpl w:val="CD5C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715C1F04"/>
    <w:multiLevelType w:val="multilevel"/>
    <w:tmpl w:val="2EC46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6"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447428198">
    <w:abstractNumId w:val="15"/>
  </w:num>
  <w:num w:numId="2" w16cid:durableId="734360204">
    <w:abstractNumId w:val="19"/>
  </w:num>
  <w:num w:numId="3" w16cid:durableId="1529366185">
    <w:abstractNumId w:val="14"/>
  </w:num>
  <w:num w:numId="4" w16cid:durableId="1791314396">
    <w:abstractNumId w:val="2"/>
  </w:num>
  <w:num w:numId="5" w16cid:durableId="1384409552">
    <w:abstractNumId w:val="11"/>
  </w:num>
  <w:num w:numId="6" w16cid:durableId="1031225959">
    <w:abstractNumId w:val="23"/>
  </w:num>
  <w:num w:numId="7" w16cid:durableId="1455439089">
    <w:abstractNumId w:val="4"/>
  </w:num>
  <w:num w:numId="8" w16cid:durableId="525604288">
    <w:abstractNumId w:val="25"/>
  </w:num>
  <w:num w:numId="9" w16cid:durableId="1473789768">
    <w:abstractNumId w:val="5"/>
  </w:num>
  <w:num w:numId="10" w16cid:durableId="285359025">
    <w:abstractNumId w:val="9"/>
  </w:num>
  <w:num w:numId="11" w16cid:durableId="1552232211">
    <w:abstractNumId w:val="3"/>
  </w:num>
  <w:num w:numId="12" w16cid:durableId="1469202230">
    <w:abstractNumId w:val="18"/>
  </w:num>
  <w:num w:numId="13" w16cid:durableId="2080013860">
    <w:abstractNumId w:val="21"/>
  </w:num>
  <w:num w:numId="14" w16cid:durableId="120653496">
    <w:abstractNumId w:val="1"/>
  </w:num>
  <w:num w:numId="15" w16cid:durableId="1348482389">
    <w:abstractNumId w:val="0"/>
  </w:num>
  <w:num w:numId="16" w16cid:durableId="935017375">
    <w:abstractNumId w:val="8"/>
  </w:num>
  <w:num w:numId="17" w16cid:durableId="1192180558">
    <w:abstractNumId w:val="12"/>
  </w:num>
  <w:num w:numId="18" w16cid:durableId="1231623168">
    <w:abstractNumId w:val="7"/>
  </w:num>
  <w:num w:numId="19" w16cid:durableId="151873290">
    <w:abstractNumId w:val="22"/>
  </w:num>
  <w:num w:numId="20" w16cid:durableId="1366714558">
    <w:abstractNumId w:val="13"/>
  </w:num>
  <w:num w:numId="21" w16cid:durableId="2079668159">
    <w:abstractNumId w:val="20"/>
  </w:num>
  <w:num w:numId="22" w16cid:durableId="1814252792">
    <w:abstractNumId w:val="26"/>
  </w:num>
  <w:num w:numId="23" w16cid:durableId="1453675153">
    <w:abstractNumId w:val="24"/>
  </w:num>
  <w:num w:numId="24" w16cid:durableId="548107381">
    <w:abstractNumId w:val="16"/>
  </w:num>
  <w:num w:numId="25" w16cid:durableId="294533465">
    <w:abstractNumId w:val="6"/>
  </w:num>
  <w:num w:numId="26" w16cid:durableId="1580405264">
    <w:abstractNumId w:val="17"/>
  </w:num>
  <w:num w:numId="27" w16cid:durableId="17500534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NzJlMTNhYTQtNTA5Zi00ZTExLWE2NjgtMDU2NzY0MDY5YWRlXCIsXCIwMDEyZjJlZS1k"/>
    <w:docVar w:name="GVData0" w:val="MDJjLTQ0NzktYThkMS01ODFmYTFmZjJhZWJcIixcIjNkZGU0YTg5LWM3NDEtNDM0ZS04ZjlmLTMxODBmODlkZmViZVwiLFwiYTRmZmExZGEtOGIzMC00YjhmLTk1ODktY2FhNTcxMmIxOTljXCIsXCJmYzA2MDNjYS01ZTk5LTQ4YTUtYjQwMC01OTA1OWQ1NWVlYzlc"/>
    <w:docVar w:name="GVData1" w:val="IixcIjBkYTcxYjI2LWNlYjEtNGYwNS05ZmU4LWVjNGMyNDhmNWRjM1wiLFwiZWM3MTc2ZTYtYjE4NS00NzU2LWJhODctNjg5YWUxZDcwNzI1XCIsXCJlM2U5OWU5MC1jZmQwLTQ5ZDAtYTFiNS1jNDg1NDIwYTZmNGZcIixcIjc3ZmRjYjM0LWIwODYtNGVhMy1hZGYx"/>
    <w:docVar w:name="GVData2" w:val="LTBjMDRlYjFjZDVkYVwiLFwiMmY4NDhmMjQtN2FiYS00MGZkLWE1YjktNzRjYjBmOTdiMmI4XCJdIiwid3JpdHRlbktleXMiOiJbXCJndmRvY2lkXCIsXCJDbGFzc2lmaWNhdGlvblwiLFwiQ3VzdG9tZXJOYW1lXCIsXCJGaWxlSWRcIixcIlVzZXJJZFwiLFwiVGFn"/>
    <w:docVar w:name="GVData3" w:val="RGF0ZVRpbWVcIixcIktUQlwiLFwiQ2xhc3NpZmljYXRpb25HdWlkXCJdIiwibm9PZkd2RGF0YUVudHJpZXMiOiI3IiwibGluZUlkIjoiYzMxMzIyMzEtNzVmNC00ZjU4LWE4ZTUtN2RmMWNjZWVkYmQz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8-10T03:12:16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0A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07D"/>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0C9"/>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47189"/>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0D44"/>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28B8"/>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4FDC"/>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5ED"/>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5E78"/>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22E"/>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6BD"/>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5F8B"/>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9D7"/>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36E"/>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03BE"/>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58"/>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2959"/>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paragraph" w:customStyle="1" w:styleId="font-claude-response-body">
    <w:name w:val="font-claude-response-body"/>
    <w:basedOn w:val="Normal"/>
    <w:rsid w:val="00DE2959"/>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DE29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45</TotalTime>
  <Pages>14</Pages>
  <Words>6738</Words>
  <Characters>30258</Characters>
  <Application>Microsoft Office Word</Application>
  <DocSecurity>8</DocSecurity>
  <Lines>369</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36838</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14</cp:revision>
  <cp:lastPrinted>2026-08-07T06:39:00Z</cp:lastPrinted>
  <dcterms:created xsi:type="dcterms:W3CDTF">2026-04-27T09:24:00Z</dcterms:created>
  <dcterms:modified xsi:type="dcterms:W3CDTF">2026-08-10T03:12:00Z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2569-08-10T03:12:16Z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eyJPUyI6IldpbmRvd3MiLCJkb2NJRCI6IjZlMjc0YWIzLTcyZDEtNGFjYi1hNzc5LWFlNzBlZWFhOGI0ZiIsImRvY1N0YXRlIjoie30iLCJwYXJlbnRMaW5lSWRzIjoiW1wiNzJlMTNhYTQtNTA5Zi00ZTExLWE2NjgtMDU2NzY0MDY5YWRlXCIsXCIwMDEyZjJlZS1k</vt:lpwstr>
  </property>
  <property fmtid="{D5CDD505-2E9C-101B-9397-08002B2CF9AE}" pid="9" name="GVData0">
    <vt:lpwstr>MDJjLTQ0NzktYThkMS01ODFmYTFmZjJhZWJcIixcIjNkZGU0YTg5LWM3NDEtNDM0ZS04ZjlmLTMxODBmODlkZmViZVwiLFwiYTRmZmExZGEtOGIzMC00YjhmLTk1ODktY2FhNTcxMmIxOTljXCIsXCJmYzA2MDNjYS01ZTk5LTQ4YTUtYjQwMC01OTA1OWQ1NWVlYzlc</vt:lpwstr>
  </property>
  <property fmtid="{D5CDD505-2E9C-101B-9397-08002B2CF9AE}" pid="10" name="GVData1">
    <vt:lpwstr>IixcIjBkYTcxYjI2LWNlYjEtNGYwNS05ZmU4LWVjNGMyNDhmNWRjM1wiLFwiZWM3MTc2ZTYtYjE4NS00NzU2LWJhODctNjg5YWUxZDcwNzI1XCIsXCJlM2U5OWU5MC1jZmQwLTQ5ZDAtYTFiNS1jNDg1NDIwYTZmNGZcIixcIjc3ZmRjYjM0LWIwODYtNGVhMy1hZGYx</vt:lpwstr>
  </property>
  <property fmtid="{D5CDD505-2E9C-101B-9397-08002B2CF9AE}" pid="11" name="GVData2">
    <vt:lpwstr>LTBjMDRlYjFjZDVkYVwiLFwiMmY4NDhmMjQtN2FiYS00MGZkLWE1YjktNzRjYjBmOTdiMmI4XCJdIiwid3JpdHRlbktleXMiOiJbXCJndmRvY2lkXCIsXCJDbGFzc2lmaWNhdGlvblwiLFwiQ3VzdG9tZXJOYW1lXCIsXCJGaWxlSWRcIixcIlVzZXJJZFwiLFwiVGFn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RGF0ZVRpbWVcIixcIktUQlwiLFwiQ2xhc3NpZmljYXRpb25HdWlkXCJdIiwibm9PZkd2RGF0YUVudHJpZXMiOiI3IiwibGluZUlkIjoiYzMxMzIyMzEtNzVmNC00ZjU4LWE4ZTUtN2RmMWNjZWVkYmQzIiwidGFnc2V0X2UxNjQwOWE3XzE3MDBfNDE1M185MDkwXzM5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