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CREDO TECHNOLOGY GROUP HOLDING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CREDO TECHNOLOGY GROUP HOLDING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r w:rsidR="00E60082">
              <w:fldChar w:fldCharType="begin"/>
            </w:r>
            <w:r w:rsidR="00E60082">
              <w:instrText>HYPERLINK "https://www.google.com/search?q=%E0%B8%95%E0%B8%A5%E0%B8%B2%E0%B8%94%E0%B8%AB%E0%B8%A5%E0%B8%B1%E0%B8%81%E0%B8%97%E0%B8%A3%E0%B8%B1%E0%B8%9E%E0%B8%A2%E0%B9%8C%E0%B9%81%E0%B8%99%E0%B8%AA%E0%B9%81%E0%B8%94%E0%B9%87%E0%B8%81&amp;spell=1&amp;sa=X&amp;ved=2ahUKEwir592f-IH5AhUYwzgGHegfAQkQkeECKAB6BAgCEDg"</w:instrText>
            </w:r>
            <w:r w:rsidR="00E60082">
              <w:fldChar w:fldCharType="separate"/>
            </w:r>
            <w:r w:rsidR="00E60082" w:rsidRPr="00BD7623">
              <w:rPr>
                <w:rFonts w:asciiTheme="majorBidi" w:eastAsia="Calibri" w:hAnsiTheme="majorBidi" w:cstheme="majorBidi"/>
                <w:sz w:val="28"/>
                <w:cs/>
              </w:rPr>
              <w:t>ตลาดหลักทรัพย์</w:t>
            </w:r>
            <w:r w:rsidR="00E60082">
              <w:fldChar w:fldCharType="end"/>
            </w:r>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 ("CREDO")</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CRDO80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7B21F5C8"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925F8B" w:rsidRPr="005E479A">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CREDO TECHNOLOGY GROUP HOLDING LTD.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PO Box 309, Ugland House</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Grand Cayman, Cayman Islands, KY1-1104</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+1 408 664 9329</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https://credosemi.com/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https://www.nasdaq.com/market-activity/stocks/crdo</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8A0263E" w14:textId="22E7CF73"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Overview</w:t>
      </w:r>
    </w:p>
    <w:p w14:paraId="41E95F0C" w14:textId="28F70C50"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Credo Technology Group Holding Ltd is a high-growth semiconductor company building the critical high-speed connectivity infrastructure that underpins modern AI data centers and hyperscale computing. Founded in 2008 and headquartered in the Cayman Islands, the company operates as a specialized silicon and intellectual property engine focused on solving the fundamental bandwidth, power, and signal integrity constraints that bottleneck next-generation AI and cloud workloads. The company designs, develops, and delivers cutting-edge active electrical cable solutions, digital signal processors, serializer/</w:t>
      </w:r>
      <w:proofErr w:type="spellStart"/>
      <w:r w:rsidRPr="00DE2959">
        <w:rPr>
          <w:rFonts w:asciiTheme="majorBidi" w:hAnsiTheme="majorBidi" w:cstheme="majorBidi"/>
          <w:sz w:val="28"/>
          <w:szCs w:val="28"/>
        </w:rPr>
        <w:t>deserializer</w:t>
      </w:r>
      <w:proofErr w:type="spellEnd"/>
      <w:r w:rsidRPr="00DE2959">
        <w:rPr>
          <w:rFonts w:asciiTheme="majorBidi" w:hAnsiTheme="majorBidi" w:cstheme="majorBidi"/>
          <w:sz w:val="28"/>
          <w:szCs w:val="28"/>
        </w:rPr>
        <w:t xml:space="preserve"> chiplets, physical-layer integrated circuits, and SerDes IP licensing that enable the extreme data throughput requirements of today's largest compute clusters.</w:t>
      </w:r>
    </w:p>
    <w:p w14:paraId="43041296" w14:textId="58394ACA"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Principal Business Operations</w:t>
      </w:r>
    </w:p>
    <w:p w14:paraId="30F01B30" w14:textId="55052FB5"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lastRenderedPageBreak/>
        <w:t>The operations are centered on a focused, vertically integrated semiconductor design ecosystem across three core product pillars:</w:t>
      </w:r>
    </w:p>
    <w:p w14:paraId="064FD363" w14:textId="77777777" w:rsidR="00DE2959" w:rsidRPr="00DE2959" w:rsidRDefault="00DE2959" w:rsidP="00CF0958">
      <w:pPr>
        <w:pStyle w:val="font-claude-response-body"/>
        <w:numPr>
          <w:ilvl w:val="0"/>
          <w:numId w:val="23"/>
        </w:numPr>
        <w:jc w:val="both"/>
        <w:rPr>
          <w:rFonts w:asciiTheme="majorBidi" w:hAnsiTheme="majorBidi" w:cstheme="majorBidi"/>
          <w:sz w:val="28"/>
          <w:szCs w:val="28"/>
        </w:rPr>
      </w:pPr>
      <w:r w:rsidRPr="00DE2959">
        <w:rPr>
          <w:rFonts w:asciiTheme="majorBidi" w:hAnsiTheme="majorBidi" w:cstheme="majorBidi"/>
          <w:sz w:val="28"/>
          <w:szCs w:val="28"/>
        </w:rPr>
        <w:t>Connectivity Solutions: Encompasses the HiWire Active Electrical Cable product family — including HiWire CLOS, SPAN, SHIFT, and SWITCH variants — delivering high-bandwidth, low-power, low-latency interconnects designed to replace traditional passive copper and optical cabling inside hyperscale data center switching fabrics and AI training clusters.</w:t>
      </w:r>
    </w:p>
    <w:p w14:paraId="3F6D335D" w14:textId="77777777" w:rsidR="00DE2959" w:rsidRPr="00DE2959" w:rsidRDefault="00DE2959" w:rsidP="00CF0958">
      <w:pPr>
        <w:pStyle w:val="font-claude-response-body"/>
        <w:numPr>
          <w:ilvl w:val="0"/>
          <w:numId w:val="23"/>
        </w:numPr>
        <w:jc w:val="both"/>
        <w:rPr>
          <w:rFonts w:asciiTheme="majorBidi" w:hAnsiTheme="majorBidi" w:cstheme="majorBidi"/>
          <w:sz w:val="28"/>
          <w:szCs w:val="28"/>
        </w:rPr>
      </w:pPr>
      <w:r w:rsidRPr="00DE2959">
        <w:rPr>
          <w:rFonts w:asciiTheme="majorBidi" w:hAnsiTheme="majorBidi" w:cstheme="majorBidi"/>
          <w:sz w:val="28"/>
          <w:szCs w:val="28"/>
        </w:rPr>
        <w:t xml:space="preserve">Silicon Products: Includes optical PAM4 digital signal processors, low-power line card PHYs, PCIe </w:t>
      </w:r>
      <w:proofErr w:type="spellStart"/>
      <w:r w:rsidRPr="00DE2959">
        <w:rPr>
          <w:rFonts w:asciiTheme="majorBidi" w:hAnsiTheme="majorBidi" w:cstheme="majorBidi"/>
          <w:sz w:val="28"/>
          <w:szCs w:val="28"/>
        </w:rPr>
        <w:t>retimer</w:t>
      </w:r>
      <w:proofErr w:type="spellEnd"/>
      <w:r w:rsidRPr="00DE2959">
        <w:rPr>
          <w:rFonts w:asciiTheme="majorBidi" w:hAnsiTheme="majorBidi" w:cstheme="majorBidi"/>
          <w:sz w:val="28"/>
          <w:szCs w:val="28"/>
        </w:rPr>
        <w:t xml:space="preserve"> solutions, and SerDes chiplets targeting optical module manufacturers, original equipment manufacturers, and original design manufacturers deploying 400G, 800G, and 1.6T Ethernet infrastructure.</w:t>
      </w:r>
    </w:p>
    <w:p w14:paraId="5B584BAD" w14:textId="77777777" w:rsidR="00DE2959" w:rsidRPr="00DE2959" w:rsidRDefault="00DE2959" w:rsidP="00CF0958">
      <w:pPr>
        <w:pStyle w:val="font-claude-response-body"/>
        <w:numPr>
          <w:ilvl w:val="0"/>
          <w:numId w:val="23"/>
        </w:numPr>
        <w:jc w:val="both"/>
        <w:rPr>
          <w:rFonts w:asciiTheme="majorBidi" w:hAnsiTheme="majorBidi" w:cstheme="majorBidi"/>
          <w:sz w:val="28"/>
          <w:szCs w:val="28"/>
        </w:rPr>
      </w:pPr>
      <w:r w:rsidRPr="00DE2959">
        <w:rPr>
          <w:rFonts w:asciiTheme="majorBidi" w:hAnsiTheme="majorBidi" w:cstheme="majorBidi"/>
          <w:sz w:val="28"/>
          <w:szCs w:val="28"/>
        </w:rPr>
        <w:t>Intellectual Property Licensing: Driven by the company's proprietary SerDes IP portfolio, licensed to semiconductor companies and system builders requiring custom high-speed interface designs embedded directly into their own silicon architectures.</w:t>
      </w:r>
    </w:p>
    <w:p w14:paraId="4357134A" w14:textId="7E8BD206"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Supply Chain and Infrastructure</w:t>
      </w:r>
    </w:p>
    <w:p w14:paraId="655C2455" w14:textId="721C50DD"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 xml:space="preserve">The company operates a fabless semiconductor model, outsourcing wafer fabrication to leading foundry partners while retaining full ownership of chip architecture, signal processing algorithms, firmware, and system-level design. Engineering operations span offices in San Jose, California; Bangalore, India; and Zhubei, Taiwan, providing global design and customer support coverage. The company has expanded its capabilities through the acquisition of </w:t>
      </w:r>
      <w:proofErr w:type="spellStart"/>
      <w:r w:rsidRPr="00DE2959">
        <w:rPr>
          <w:rFonts w:asciiTheme="majorBidi" w:hAnsiTheme="majorBidi" w:cstheme="majorBidi"/>
          <w:sz w:val="28"/>
          <w:szCs w:val="28"/>
        </w:rPr>
        <w:t>DustPhotonics</w:t>
      </w:r>
      <w:proofErr w:type="spellEnd"/>
      <w:r w:rsidRPr="00DE2959">
        <w:rPr>
          <w:rFonts w:asciiTheme="majorBidi" w:hAnsiTheme="majorBidi" w:cstheme="majorBidi"/>
          <w:sz w:val="28"/>
          <w:szCs w:val="28"/>
        </w:rPr>
        <w:t>, adding co-packaged optics and photonic integrated circuit expertise, and through a strategic partnership with Rebellions to build enterprise AI factory infrastructure.</w:t>
      </w:r>
    </w:p>
    <w:p w14:paraId="0F82DAFD" w14:textId="2A17E797"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Strategy and Future Prospects</w:t>
      </w:r>
    </w:p>
    <w:p w14:paraId="1AEAADB8" w14:textId="2B379CB0"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The strategy is built on capitalizing on the structural explosion in AI infrastructure spending and the resulting insatiable demand for bandwidth-dense, power-efficient data center interconnects. Key strategic pillars include:</w:t>
      </w:r>
    </w:p>
    <w:p w14:paraId="38172158"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proofErr w:type="spellStart"/>
      <w:r w:rsidRPr="00DE2959">
        <w:rPr>
          <w:rFonts w:asciiTheme="majorBidi" w:hAnsiTheme="majorBidi" w:cstheme="majorBidi"/>
          <w:sz w:val="28"/>
          <w:szCs w:val="28"/>
        </w:rPr>
        <w:t>Hyperscaler</w:t>
      </w:r>
      <w:proofErr w:type="spellEnd"/>
      <w:r w:rsidRPr="00DE2959">
        <w:rPr>
          <w:rFonts w:asciiTheme="majorBidi" w:hAnsiTheme="majorBidi" w:cstheme="majorBidi"/>
          <w:sz w:val="28"/>
          <w:szCs w:val="28"/>
        </w:rPr>
        <w:t xml:space="preserve"> Penetration and Concentration: Deepening wallet share within the world's largest cloud and AI infrastructure operators deploying custom AI accelerator clusters requiring hundreds of thousands of high-speed interconnect links per facility.</w:t>
      </w:r>
    </w:p>
    <w:p w14:paraId="6A66FAF8"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Technology Generation Leadership: Maintaining a consistent lead in SerDes speed and power efficiency ahead of each successive Ethernet generational transition, targeting 1.6T and beyond as the next major upgrade cycle.</w:t>
      </w:r>
    </w:p>
    <w:p w14:paraId="0BB6D94F"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 xml:space="preserve">Co-packaged Optics Expansion: Leveraging the </w:t>
      </w:r>
      <w:proofErr w:type="spellStart"/>
      <w:r w:rsidRPr="00DE2959">
        <w:rPr>
          <w:rFonts w:asciiTheme="majorBidi" w:hAnsiTheme="majorBidi" w:cstheme="majorBidi"/>
          <w:sz w:val="28"/>
          <w:szCs w:val="28"/>
        </w:rPr>
        <w:t>DustPhotonics</w:t>
      </w:r>
      <w:proofErr w:type="spellEnd"/>
      <w:r w:rsidRPr="00DE2959">
        <w:rPr>
          <w:rFonts w:asciiTheme="majorBidi" w:hAnsiTheme="majorBidi" w:cstheme="majorBidi"/>
          <w:sz w:val="28"/>
          <w:szCs w:val="28"/>
        </w:rPr>
        <w:t xml:space="preserve"> acquisition to position the company at the intersection of electrical and optical connectivity as data center architects integrate photonic engines directly onto switch and accelerator packages.</w:t>
      </w:r>
    </w:p>
    <w:p w14:paraId="00BB5DAE"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 xml:space="preserve">Enterprise AI Factory Build-out: Partnering with AI system integrators like Rebellions to extend the company's technology into enterprise-grade AI infrastructure deployments beyond the traditional </w:t>
      </w:r>
      <w:proofErr w:type="spellStart"/>
      <w:r w:rsidRPr="00DE2959">
        <w:rPr>
          <w:rFonts w:asciiTheme="majorBidi" w:hAnsiTheme="majorBidi" w:cstheme="majorBidi"/>
          <w:sz w:val="28"/>
          <w:szCs w:val="28"/>
        </w:rPr>
        <w:t>hyperscaler</w:t>
      </w:r>
      <w:proofErr w:type="spellEnd"/>
      <w:r w:rsidRPr="00DE2959">
        <w:rPr>
          <w:rFonts w:asciiTheme="majorBidi" w:hAnsiTheme="majorBidi" w:cstheme="majorBidi"/>
          <w:sz w:val="28"/>
          <w:szCs w:val="28"/>
        </w:rPr>
        <w:t xml:space="preserve"> base.</w:t>
      </w:r>
    </w:p>
    <w:p w14:paraId="05CD4D65" w14:textId="301EDE01"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lastRenderedPageBreak/>
        <w:t>Value Propositions</w:t>
      </w:r>
    </w:p>
    <w:p w14:paraId="2F05959B" w14:textId="3F283D88"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 xml:space="preserve">The company aligns its value with the radical reduction of power consumption and signal degradation at extreme data rates. For </w:t>
      </w:r>
      <w:proofErr w:type="spellStart"/>
      <w:r w:rsidRPr="00DE2959">
        <w:rPr>
          <w:rFonts w:asciiTheme="majorBidi" w:hAnsiTheme="majorBidi" w:cstheme="majorBidi"/>
          <w:sz w:val="28"/>
          <w:szCs w:val="28"/>
        </w:rPr>
        <w:t>hyperscalers</w:t>
      </w:r>
      <w:proofErr w:type="spellEnd"/>
      <w:r w:rsidRPr="00DE2959">
        <w:rPr>
          <w:rFonts w:asciiTheme="majorBidi" w:hAnsiTheme="majorBidi" w:cstheme="majorBidi"/>
          <w:sz w:val="28"/>
          <w:szCs w:val="28"/>
        </w:rPr>
        <w:t xml:space="preserve"> and data center operators, it delivers active electrical cable solutions that eliminate the optical transceiver modules traditionally required for short-reach connections, cutting both cost and power draw per port. For silicon designers and system builders, its SerDes IP provides a battle-tested, high-performance interface foundation that dramatically reduces design risk and time-to-market for custom chips. For optical module makers and line card designers, its DSP and PHY products provide the signal processing horsepower needed to meet the most demanding next-generation Ethernet performance specifications.</w:t>
      </w:r>
    </w:p>
    <w:p w14:paraId="2E247C21" w14:textId="48BABE6D"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Customer Segments</w:t>
      </w:r>
    </w:p>
    <w:p w14:paraId="04493A66" w14:textId="3613BC1D"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The company serves a concentrated but strategically critical base of global technology buyers:</w:t>
      </w:r>
    </w:p>
    <w:p w14:paraId="085206EE"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proofErr w:type="spellStart"/>
      <w:r w:rsidRPr="00DE2959">
        <w:rPr>
          <w:rFonts w:asciiTheme="majorBidi" w:hAnsiTheme="majorBidi" w:cstheme="majorBidi"/>
          <w:sz w:val="28"/>
          <w:szCs w:val="28"/>
        </w:rPr>
        <w:t>Hyperscalers</w:t>
      </w:r>
      <w:proofErr w:type="spellEnd"/>
      <w:r w:rsidRPr="00DE2959">
        <w:rPr>
          <w:rFonts w:asciiTheme="majorBidi" w:hAnsiTheme="majorBidi" w:cstheme="majorBidi"/>
          <w:sz w:val="28"/>
          <w:szCs w:val="28"/>
        </w:rPr>
        <w:t xml:space="preserve"> and Cloud Operators: The largest global cloud and AI infrastructure builders </w:t>
      </w:r>
      <w:proofErr w:type="gramStart"/>
      <w:r w:rsidRPr="00DE2959">
        <w:rPr>
          <w:rFonts w:asciiTheme="majorBidi" w:hAnsiTheme="majorBidi" w:cstheme="majorBidi"/>
          <w:sz w:val="28"/>
          <w:szCs w:val="28"/>
        </w:rPr>
        <w:t>requiring</w:t>
      </w:r>
      <w:proofErr w:type="gramEnd"/>
      <w:r w:rsidRPr="00DE2959">
        <w:rPr>
          <w:rFonts w:asciiTheme="majorBidi" w:hAnsiTheme="majorBidi" w:cstheme="majorBidi"/>
          <w:sz w:val="28"/>
          <w:szCs w:val="28"/>
        </w:rPr>
        <w:t xml:space="preserve"> massive quantities of high-speed AEC cables and PHY solutions to interconnect GPU clusters, switching fabrics, and storage systems inside purpose-built AI data center campuses.</w:t>
      </w:r>
    </w:p>
    <w:p w14:paraId="4DE08634"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Original Equipment and Design Manufacturers: Networking and server hardware vendors integrating Credo's silicon into switches, line cards, and accelerator systems deployed across enterprise and cloud environments.</w:t>
      </w:r>
    </w:p>
    <w:p w14:paraId="398961C1"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Optical Module Manufacturers: Makers of pluggable optical transceivers requiring high-performance DSP and SerDes components to meet the signal processing requirements of 400G, 800G, and emerging 1.6T form factors.</w:t>
      </w:r>
    </w:p>
    <w:p w14:paraId="6677F7A3"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Semiconductor Licensees: Chip design companies and system-on-chip developers embedding Credo's SerDes IP directly into their own proprietary silicon to achieve high-speed interface performance without building the underlying technology from scratch.</w:t>
      </w:r>
    </w:p>
    <w:p w14:paraId="5D37A290" w14:textId="3A6454BD"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Customer Relationships</w:t>
      </w:r>
    </w:p>
    <w:p w14:paraId="23640FD8" w14:textId="343480A2"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Trust is established through deep co-development engagements with hyperscale customers requiring highly customized connectivity solutions tightly integrated into their proprietary AI infrastructure architectures. Long-term stickiness is driven by the significant switching costs and qualification cycles associated with high-speed silicon deployments, where changing interconnect vendors mid-generation is prohibitively disruptive. The company reinforces relationships through direct field application engineering support embedded within customer design teams and continuous joint roadmap alignment tying Credo's product cycles to customer infrastructure upgrade schedules.</w:t>
      </w:r>
    </w:p>
    <w:p w14:paraId="45C485D4" w14:textId="1F4EFC5F"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Channels</w:t>
      </w:r>
    </w:p>
    <w:p w14:paraId="50C08CF6" w14:textId="0AD5C3C8"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Operations and sales are conducted through a highly direct and relationship-intensive model:</w:t>
      </w:r>
    </w:p>
    <w:p w14:paraId="05EC9BC0" w14:textId="77777777" w:rsidR="00DE2959" w:rsidRPr="00DE2959" w:rsidRDefault="00DE2959" w:rsidP="00CF0958">
      <w:pPr>
        <w:pStyle w:val="font-claude-response-body"/>
        <w:numPr>
          <w:ilvl w:val="0"/>
          <w:numId w:val="26"/>
        </w:numPr>
        <w:jc w:val="both"/>
        <w:rPr>
          <w:rFonts w:asciiTheme="majorBidi" w:hAnsiTheme="majorBidi" w:cstheme="majorBidi"/>
          <w:sz w:val="28"/>
          <w:szCs w:val="28"/>
        </w:rPr>
      </w:pPr>
      <w:r w:rsidRPr="00DE2959">
        <w:rPr>
          <w:rFonts w:asciiTheme="majorBidi" w:hAnsiTheme="majorBidi" w:cstheme="majorBidi"/>
          <w:sz w:val="28"/>
          <w:szCs w:val="28"/>
        </w:rPr>
        <w:lastRenderedPageBreak/>
        <w:t xml:space="preserve">Direct Enterprise Sales: Named-account sales and field application engineering teams working directly with </w:t>
      </w:r>
      <w:proofErr w:type="spellStart"/>
      <w:r w:rsidRPr="00DE2959">
        <w:rPr>
          <w:rFonts w:asciiTheme="majorBidi" w:hAnsiTheme="majorBidi" w:cstheme="majorBidi"/>
          <w:sz w:val="28"/>
          <w:szCs w:val="28"/>
        </w:rPr>
        <w:t>hyperscaler</w:t>
      </w:r>
      <w:proofErr w:type="spellEnd"/>
      <w:r w:rsidRPr="00DE2959">
        <w:rPr>
          <w:rFonts w:asciiTheme="majorBidi" w:hAnsiTheme="majorBidi" w:cstheme="majorBidi"/>
          <w:sz w:val="28"/>
          <w:szCs w:val="28"/>
        </w:rPr>
        <w:t xml:space="preserve"> infrastructure procurement and hardware engineering organizations on current-generation deployments and next-generation co-development programs.</w:t>
      </w:r>
    </w:p>
    <w:p w14:paraId="611FDB2E" w14:textId="77777777" w:rsidR="00DE2959" w:rsidRPr="00DE2959" w:rsidRDefault="00DE2959" w:rsidP="00CF0958">
      <w:pPr>
        <w:pStyle w:val="font-claude-response-body"/>
        <w:numPr>
          <w:ilvl w:val="0"/>
          <w:numId w:val="26"/>
        </w:numPr>
        <w:jc w:val="both"/>
        <w:rPr>
          <w:rFonts w:asciiTheme="majorBidi" w:hAnsiTheme="majorBidi" w:cstheme="majorBidi"/>
          <w:sz w:val="28"/>
          <w:szCs w:val="28"/>
        </w:rPr>
      </w:pPr>
      <w:r w:rsidRPr="00DE2959">
        <w:rPr>
          <w:rFonts w:asciiTheme="majorBidi" w:hAnsiTheme="majorBidi" w:cstheme="majorBidi"/>
          <w:sz w:val="28"/>
          <w:szCs w:val="28"/>
        </w:rPr>
        <w:t>Distribution Partners: Selective use of authorized semiconductor distributors and value-added resellers to reach OEM and ODM customers across Asia-Pacific manufacturing hubs where Credo's products are integrated into networking hardware and optical module assemblies.</w:t>
      </w:r>
    </w:p>
    <w:p w14:paraId="0D520104" w14:textId="1DFDA80F"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Revenue Streams</w:t>
      </w:r>
    </w:p>
    <w:p w14:paraId="1E286A06" w14:textId="4A6E8786"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Revenue is driven by a mix of high-volume product shipments and recurring intellectual property licensing fees:</w:t>
      </w:r>
    </w:p>
    <w:p w14:paraId="0F783AC1" w14:textId="77777777" w:rsidR="00DE2959" w:rsidRPr="00DE2959" w:rsidRDefault="00DE2959" w:rsidP="00CF0958">
      <w:pPr>
        <w:pStyle w:val="font-claude-response-body"/>
        <w:numPr>
          <w:ilvl w:val="0"/>
          <w:numId w:val="27"/>
        </w:numPr>
        <w:jc w:val="both"/>
        <w:rPr>
          <w:rFonts w:asciiTheme="majorBidi" w:hAnsiTheme="majorBidi" w:cstheme="majorBidi"/>
          <w:sz w:val="28"/>
          <w:szCs w:val="28"/>
        </w:rPr>
      </w:pPr>
      <w:r w:rsidRPr="00DE2959">
        <w:rPr>
          <w:rFonts w:asciiTheme="majorBidi" w:hAnsiTheme="majorBidi" w:cstheme="majorBidi"/>
          <w:sz w:val="28"/>
          <w:szCs w:val="28"/>
        </w:rPr>
        <w:t xml:space="preserve">Product Revenue: The dominant share of total </w:t>
      </w:r>
      <w:proofErr w:type="gramStart"/>
      <w:r w:rsidRPr="00DE2959">
        <w:rPr>
          <w:rFonts w:asciiTheme="majorBidi" w:hAnsiTheme="majorBidi" w:cstheme="majorBidi"/>
          <w:sz w:val="28"/>
          <w:szCs w:val="28"/>
        </w:rPr>
        <w:t>revenue,</w:t>
      </w:r>
      <w:proofErr w:type="gramEnd"/>
      <w:r w:rsidRPr="00DE2959">
        <w:rPr>
          <w:rFonts w:asciiTheme="majorBidi" w:hAnsiTheme="majorBidi" w:cstheme="majorBidi"/>
          <w:sz w:val="28"/>
          <w:szCs w:val="28"/>
        </w:rPr>
        <w:t xml:space="preserve"> generated through volume shipments of AEC cables, DSP integrated circuits, PHY chips, PCIe </w:t>
      </w:r>
      <w:proofErr w:type="spellStart"/>
      <w:r w:rsidRPr="00DE2959">
        <w:rPr>
          <w:rFonts w:asciiTheme="majorBidi" w:hAnsiTheme="majorBidi" w:cstheme="majorBidi"/>
          <w:sz w:val="28"/>
          <w:szCs w:val="28"/>
        </w:rPr>
        <w:t>retimers</w:t>
      </w:r>
      <w:proofErr w:type="spellEnd"/>
      <w:r w:rsidRPr="00DE2959">
        <w:rPr>
          <w:rFonts w:asciiTheme="majorBidi" w:hAnsiTheme="majorBidi" w:cstheme="majorBidi"/>
          <w:sz w:val="28"/>
          <w:szCs w:val="28"/>
        </w:rPr>
        <w:t xml:space="preserve">, and SerDes chiplets to </w:t>
      </w:r>
      <w:proofErr w:type="spellStart"/>
      <w:r w:rsidRPr="00DE2959">
        <w:rPr>
          <w:rFonts w:asciiTheme="majorBidi" w:hAnsiTheme="majorBidi" w:cstheme="majorBidi"/>
          <w:sz w:val="28"/>
          <w:szCs w:val="28"/>
        </w:rPr>
        <w:t>hyperscalers</w:t>
      </w:r>
      <w:proofErr w:type="spellEnd"/>
      <w:r w:rsidRPr="00DE2959">
        <w:rPr>
          <w:rFonts w:asciiTheme="majorBidi" w:hAnsiTheme="majorBidi" w:cstheme="majorBidi"/>
          <w:sz w:val="28"/>
          <w:szCs w:val="28"/>
        </w:rPr>
        <w:t>, OEMs, ODMs, and optical module manufacturers.</w:t>
      </w:r>
    </w:p>
    <w:p w14:paraId="1272B809" w14:textId="77777777" w:rsidR="00DE2959" w:rsidRPr="00DE2959" w:rsidRDefault="00DE2959" w:rsidP="00CF0958">
      <w:pPr>
        <w:pStyle w:val="font-claude-response-body"/>
        <w:numPr>
          <w:ilvl w:val="0"/>
          <w:numId w:val="27"/>
        </w:numPr>
        <w:jc w:val="both"/>
        <w:rPr>
          <w:rFonts w:asciiTheme="majorBidi" w:hAnsiTheme="majorBidi" w:cstheme="majorBidi"/>
          <w:sz w:val="28"/>
          <w:szCs w:val="28"/>
        </w:rPr>
      </w:pPr>
      <w:r w:rsidRPr="00DE2959">
        <w:rPr>
          <w:rFonts w:asciiTheme="majorBidi" w:hAnsiTheme="majorBidi" w:cstheme="majorBidi"/>
          <w:sz w:val="28"/>
          <w:szCs w:val="28"/>
        </w:rPr>
        <w:t>IP Licensing and Royalties: Derived from licensing agreements granting semiconductor companies access to Credo's proprietary SerDes IP, generating recurring royalty streams tied to licensee production volumes and design-win proliferation across the broader semiconductor ecosystem.</w:t>
      </w:r>
    </w:p>
    <w:p w14:paraId="28C7ED72" w14:textId="18ECFD3E"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Key Activities and Resources</w:t>
      </w:r>
    </w:p>
    <w:p w14:paraId="560AF467" w14:textId="67F7CEDD"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 xml:space="preserve">Core activities include intensive research and development in next-generation SerDes architectures, signal processing algorithms, and high-speed analog and mixed-signal circuit design; high-cadence silicon tape-out and product qualification cycles targeting each successive Ethernet generational transition; and deep customer co-development programs aligning product roadmaps with </w:t>
      </w:r>
      <w:proofErr w:type="spellStart"/>
      <w:r w:rsidRPr="00DE2959">
        <w:rPr>
          <w:rFonts w:asciiTheme="majorBidi" w:hAnsiTheme="majorBidi" w:cstheme="majorBidi"/>
          <w:sz w:val="28"/>
          <w:szCs w:val="28"/>
        </w:rPr>
        <w:t>hyperscaler</w:t>
      </w:r>
      <w:proofErr w:type="spellEnd"/>
      <w:r w:rsidRPr="00DE2959">
        <w:rPr>
          <w:rFonts w:asciiTheme="majorBidi" w:hAnsiTheme="majorBidi" w:cstheme="majorBidi"/>
          <w:sz w:val="28"/>
          <w:szCs w:val="28"/>
        </w:rPr>
        <w:t xml:space="preserve"> infrastructure build-out timelines. Critical resources include a world-class team of analog, mixed-signal, and digital IC design engineers; a proprietary and expanding SerDes IP portfolio spanning multiple process nodes and speed </w:t>
      </w:r>
      <w:proofErr w:type="gramStart"/>
      <w:r w:rsidRPr="00DE2959">
        <w:rPr>
          <w:rFonts w:asciiTheme="majorBidi" w:hAnsiTheme="majorBidi" w:cstheme="majorBidi"/>
          <w:sz w:val="28"/>
          <w:szCs w:val="28"/>
        </w:rPr>
        <w:t>tiers</w:t>
      </w:r>
      <w:proofErr w:type="gramEnd"/>
      <w:r w:rsidRPr="00DE2959">
        <w:rPr>
          <w:rFonts w:asciiTheme="majorBidi" w:hAnsiTheme="majorBidi" w:cstheme="majorBidi"/>
          <w:sz w:val="28"/>
          <w:szCs w:val="28"/>
        </w:rPr>
        <w:t xml:space="preserve">; strategic foundry relationships providing access to leading-edge CMOS process technology; and co-packaged optics capabilities acquired through </w:t>
      </w:r>
      <w:proofErr w:type="spellStart"/>
      <w:r w:rsidRPr="00DE2959">
        <w:rPr>
          <w:rFonts w:asciiTheme="majorBidi" w:hAnsiTheme="majorBidi" w:cstheme="majorBidi"/>
          <w:sz w:val="28"/>
          <w:szCs w:val="28"/>
        </w:rPr>
        <w:t>DustPhotonics</w:t>
      </w:r>
      <w:proofErr w:type="spellEnd"/>
      <w:r w:rsidRPr="00DE2959">
        <w:rPr>
          <w:rFonts w:asciiTheme="majorBidi" w:hAnsiTheme="majorBidi" w:cstheme="majorBidi"/>
          <w:sz w:val="28"/>
          <w:szCs w:val="28"/>
        </w:rPr>
        <w:t>.</w:t>
      </w:r>
    </w:p>
    <w:p w14:paraId="021836FC" w14:textId="76021F0F"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Key Partnerships and Cost Structure</w:t>
      </w:r>
    </w:p>
    <w:p w14:paraId="205429C1" w14:textId="56BBEA4C" w:rsidR="008D2571"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 xml:space="preserve">Strategic partnerships include foundry relationships with leading semiconductor manufacturers; the </w:t>
      </w:r>
      <w:proofErr w:type="spellStart"/>
      <w:r w:rsidRPr="00DE2959">
        <w:rPr>
          <w:rFonts w:asciiTheme="majorBidi" w:hAnsiTheme="majorBidi" w:cstheme="majorBidi"/>
          <w:sz w:val="28"/>
          <w:szCs w:val="28"/>
        </w:rPr>
        <w:t>DustPhotonics</w:t>
      </w:r>
      <w:proofErr w:type="spellEnd"/>
      <w:r w:rsidRPr="00DE2959">
        <w:rPr>
          <w:rFonts w:asciiTheme="majorBidi" w:hAnsiTheme="majorBidi" w:cstheme="majorBidi"/>
          <w:sz w:val="28"/>
          <w:szCs w:val="28"/>
        </w:rPr>
        <w:t xml:space="preserve"> acquisition extending capabilities into photonic integrated circuits and co-packaged optics; the Rebellions collaboration enabling enterprise AI factory deployments; and distribution alliances with regional electronics distributors serving Asia-Pacific OEM and ODM manufacturing bases. The cost structure is primarily driven by research and development expenditures for next-generation silicon and IP platforms; wafer procurement and outsourced assembly and test costs tied to product shipment volumes; and personnel investment in elite analog, mixed-signal, and system-level engineering talent across global design centers.</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0D14CB6B" w:rsidR="00222249" w:rsidRPr="001457EB" w:rsidRDefault="00DE2959" w:rsidP="008E64CF">
      <w:pPr>
        <w:spacing w:after="0"/>
        <w:ind w:right="52"/>
        <w:rPr>
          <w:rFonts w:asciiTheme="majorBidi" w:hAnsiTheme="majorBidi" w:cstheme="majorBidi"/>
          <w:sz w:val="28"/>
        </w:rPr>
      </w:pPr>
      <w:permStart w:id="538801036" w:edGrp="everyone"/>
      <w:r w:rsidRPr="00DE2959">
        <w:rPr>
          <w:rFonts w:asciiTheme="majorBidi" w:hAnsiTheme="majorBidi" w:cstheme="majorBidi"/>
          <w:sz w:val="28"/>
        </w:rPr>
        <w:t>https://investors.credosemi.com/financials/sec-filings/sec-filings-details/default.aspx?FilingId=17297611</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lastRenderedPageBreak/>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https://credosemi.com/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https://investors.credosemi.com/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https://investors.credosemi.com/news/default.aspx</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8"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lastRenderedPageBreak/>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9"/>
      <w:footerReference w:type="even" r:id="rId10"/>
      <w:footerReference w:type="default" r:id="rId11"/>
      <w:footerReference w:type="first" r:id="rId12"/>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2479C" w14:textId="77777777" w:rsidR="004F4FDC" w:rsidRDefault="004F4FDC" w:rsidP="00105AC2">
      <w:pPr>
        <w:spacing w:after="0" w:line="240" w:lineRule="auto"/>
      </w:pPr>
      <w:r>
        <w:separator/>
      </w:r>
    </w:p>
  </w:endnote>
  <w:endnote w:type="continuationSeparator" w:id="0">
    <w:p w14:paraId="59FF30AE" w14:textId="77777777" w:rsidR="004F4FDC" w:rsidRDefault="004F4FDC" w:rsidP="00105AC2">
      <w:pPr>
        <w:spacing w:after="0" w:line="240" w:lineRule="auto"/>
      </w:pPr>
      <w:r>
        <w:continuationSeparator/>
      </w:r>
    </w:p>
  </w:endnote>
  <w:endnote w:type="continuationNotice" w:id="1">
    <w:p w14:paraId="1E44B7DF" w14:textId="77777777" w:rsidR="004F4FDC" w:rsidRDefault="004F4F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7CB48" w14:textId="77777777" w:rsidR="004F4FDC" w:rsidRDefault="004F4FDC" w:rsidP="00105AC2">
      <w:pPr>
        <w:spacing w:after="0" w:line="240" w:lineRule="auto"/>
      </w:pPr>
      <w:r>
        <w:separator/>
      </w:r>
    </w:p>
  </w:footnote>
  <w:footnote w:type="continuationSeparator" w:id="0">
    <w:p w14:paraId="23407F14" w14:textId="77777777" w:rsidR="004F4FDC" w:rsidRDefault="004F4FDC" w:rsidP="00105AC2">
      <w:pPr>
        <w:spacing w:after="0" w:line="240" w:lineRule="auto"/>
      </w:pPr>
      <w:r>
        <w:continuationSeparator/>
      </w:r>
    </w:p>
  </w:footnote>
  <w:footnote w:type="continuationNotice" w:id="1">
    <w:p w14:paraId="526D37A6" w14:textId="77777777" w:rsidR="004F4FDC" w:rsidRDefault="004F4F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AA92C4B"/>
    <w:multiLevelType w:val="multilevel"/>
    <w:tmpl w:val="D78A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EF56141"/>
    <w:multiLevelType w:val="multilevel"/>
    <w:tmpl w:val="6DA2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3D6C12"/>
    <w:multiLevelType w:val="multilevel"/>
    <w:tmpl w:val="6996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E36491"/>
    <w:multiLevelType w:val="multilevel"/>
    <w:tmpl w:val="CD5C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715C1F04"/>
    <w:multiLevelType w:val="multilevel"/>
    <w:tmpl w:val="2EC4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447428198">
    <w:abstractNumId w:val="15"/>
  </w:num>
  <w:num w:numId="2" w16cid:durableId="734360204">
    <w:abstractNumId w:val="19"/>
  </w:num>
  <w:num w:numId="3" w16cid:durableId="1529366185">
    <w:abstractNumId w:val="14"/>
  </w:num>
  <w:num w:numId="4" w16cid:durableId="1791314396">
    <w:abstractNumId w:val="2"/>
  </w:num>
  <w:num w:numId="5" w16cid:durableId="1384409552">
    <w:abstractNumId w:val="11"/>
  </w:num>
  <w:num w:numId="6" w16cid:durableId="1031225959">
    <w:abstractNumId w:val="23"/>
  </w:num>
  <w:num w:numId="7" w16cid:durableId="1455439089">
    <w:abstractNumId w:val="4"/>
  </w:num>
  <w:num w:numId="8" w16cid:durableId="525604288">
    <w:abstractNumId w:val="25"/>
  </w:num>
  <w:num w:numId="9" w16cid:durableId="1473789768">
    <w:abstractNumId w:val="5"/>
  </w:num>
  <w:num w:numId="10" w16cid:durableId="285359025">
    <w:abstractNumId w:val="9"/>
  </w:num>
  <w:num w:numId="11" w16cid:durableId="1552232211">
    <w:abstractNumId w:val="3"/>
  </w:num>
  <w:num w:numId="12" w16cid:durableId="1469202230">
    <w:abstractNumId w:val="18"/>
  </w:num>
  <w:num w:numId="13" w16cid:durableId="2080013860">
    <w:abstractNumId w:val="21"/>
  </w:num>
  <w:num w:numId="14" w16cid:durableId="120653496">
    <w:abstractNumId w:val="1"/>
  </w:num>
  <w:num w:numId="15" w16cid:durableId="1348482389">
    <w:abstractNumId w:val="0"/>
  </w:num>
  <w:num w:numId="16" w16cid:durableId="935017375">
    <w:abstractNumId w:val="8"/>
  </w:num>
  <w:num w:numId="17" w16cid:durableId="1192180558">
    <w:abstractNumId w:val="12"/>
  </w:num>
  <w:num w:numId="18" w16cid:durableId="1231623168">
    <w:abstractNumId w:val="7"/>
  </w:num>
  <w:num w:numId="19" w16cid:durableId="151873290">
    <w:abstractNumId w:val="22"/>
  </w:num>
  <w:num w:numId="20" w16cid:durableId="1366714558">
    <w:abstractNumId w:val="13"/>
  </w:num>
  <w:num w:numId="21" w16cid:durableId="2079668159">
    <w:abstractNumId w:val="20"/>
  </w:num>
  <w:num w:numId="22" w16cid:durableId="1814252792">
    <w:abstractNumId w:val="26"/>
  </w:num>
  <w:num w:numId="23" w16cid:durableId="1453675153">
    <w:abstractNumId w:val="24"/>
  </w:num>
  <w:num w:numId="24" w16cid:durableId="548107381">
    <w:abstractNumId w:val="16"/>
  </w:num>
  <w:num w:numId="25" w16cid:durableId="294533465">
    <w:abstractNumId w:val="6"/>
  </w:num>
  <w:num w:numId="26" w16cid:durableId="1580405264">
    <w:abstractNumId w:val="17"/>
  </w:num>
  <w:num w:numId="27" w16cid:durableId="1750053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ZWM3MTc2ZTYtYjE4NS00NzU2LWJhODctNjg5YWUxZDcwNzI1XCIsXCJlM2U5OWU5MC1j"/>
    <w:docVar w:name="GVData0" w:val="ZmQwLTQ5ZDAtYTFiNS1jNDg1NDIwYTZmNGZcIixcIjc3ZmRjYjM0LWIwODYtNGVhMy1hZGYxLTBjMDRlYjFjZDVkYVwiLFwiMmY4NDhmMjQtN2FiYS00MGZkLWE1YjktNzRjYjBmOTdiMmI4XCIsXCIyNGFhMTAwNi1lZjA1LTRmY2QtOGE1Zi0zYWRkYzQ4NTg0NGRc"/>
    <w:docVar w:name="GVData1" w:val="IixcIjNjNDIxMDcwLWYyNTItNDVlOS04OTUyLTY2OGM3N2Q5ZWVkYlwiLFwiNjRkMDMwOWUtODNiMS00YzQzLTliNWEtMjU2YWE3ZWRjNWMzXCIsXCJkZTVkNjIwMy1kNmQzLTQwYmYtOGIxNS0wZWZlOWRiNTc3ZGNcIixcIjEzNTZmNTUwLTEzOTgtNDhlZC1iMzdh"/>
    <w:docVar w:name="GVData2" w:val="LTlhMGI1ZTZiMjIzYlwiLFwiMzI0NDIwODMtMDg2OS00MmI1LTg4NDYtZWE3YmFlMWEwYzIzXCJdIiwid3JpdHRlbktleXMiOiJbXCJndmRvY2lkXCIsXCJDbGFzc2lmaWNhdGlvblwiLFwiQ3VzdG9tZXJOYW1lXCIsXCJGaWxlSWRcIixcIlVzZXJJZFwiLFwiVGFn"/>
    <w:docVar w:name="GVData3" w:val="RGF0ZVRpbWVcIixcIktUQlwiLFwiQ2xhc3NpZmljYXRpb25HdWlkXCJdIiwibm9PZkd2RGF0YUVudHJpZXMiOiI3IiwibGluZUlkIjoiMGRhNzFiMjYtY2ViMS00ZjA1LTlmZTgtZWM0YzI0OGY1ZGMz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16T07:12:09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0A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28B8"/>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4FDC"/>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6BD"/>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5F8B"/>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58"/>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2959"/>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DE2959"/>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DE29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ungthai.com/th/content/depositary-recei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44</TotalTime>
  <Pages>14</Pages>
  <Words>5963</Words>
  <Characters>31013</Characters>
  <Application>Microsoft Office Word</Application>
  <DocSecurity>8</DocSecurity>
  <Lines>402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36790</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10</cp:revision>
  <cp:lastPrinted>2025-12-16T04:53:00Z</cp:lastPrinted>
  <dcterms:created xsi:type="dcterms:W3CDTF">2026-04-27T09:24:00Z</dcterms:created>
  <dcterms:modified xsi:type="dcterms:W3CDTF">2026-06-16T07:12:00Z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2569-06-16T07:12:09Z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eyJPUyI6IldpbmRvd3MiLCJkb2NJRCI6IjZlMjc0YWIzLTcyZDEtNGFjYi1hNzc5LWFlNzBlZWFhOGI0ZiIsImRvY1N0YXRlIjoie30iLCJwYXJlbnRMaW5lSWRzIjoiW1wiZWM3MTc2ZTYtYjE4NS00NzU2LWJhODctNjg5YWUxZDcwNzI1XCIsXCJlM2U5OWU5MC1j</vt:lpwstr>
  </property>
  <property fmtid="{D5CDD505-2E9C-101B-9397-08002B2CF9AE}" pid="9" name="GVData0">
    <vt:lpwstr>ZmQwLTQ5ZDAtYTFiNS1jNDg1NDIwYTZmNGZcIixcIjc3ZmRjYjM0LWIwODYtNGVhMy1hZGYxLTBjMDRlYjFjZDVkYVwiLFwiMmY4NDhmMjQtN2FiYS00MGZkLWE1YjktNzRjYjBmOTdiMmI4XCIsXCIyNGFhMTAwNi1lZjA1LTRmY2QtOGE1Zi0zYWRkYzQ4NTg0NGRc</vt:lpwstr>
  </property>
  <property fmtid="{D5CDD505-2E9C-101B-9397-08002B2CF9AE}" pid="10" name="GVData1">
    <vt:lpwstr>IixcIjNjNDIxMDcwLWYyNTItNDVlOS04OTUyLTY2OGM3N2Q5ZWVkYlwiLFwiNjRkMDMwOWUtODNiMS00YzQzLTliNWEtMjU2YWE3ZWRjNWMzXCIsXCJkZTVkNjIwMy1kNmQzLTQwYmYtOGIxNS0wZWZlOWRiNTc3ZGNcIixcIjEzNTZmNTUwLTEzOTgtNDhlZC1iMzdh</vt:lpwstr>
  </property>
  <property fmtid="{D5CDD505-2E9C-101B-9397-08002B2CF9AE}" pid="11" name="GVData2">
    <vt:lpwstr>LTlhMGI1ZTZiMjIzYlwiLFwiMzI0NDIwODMtMDg2OS00MmI1LTg4NDYtZWE3YmFlMWEwYzIzXCJdIiwid3JpdHRlbktleXMiOiJbXCJndmRvY2lkXCIsXCJDbGFzc2lmaWNhdGlvblwiLFwiQ3VzdG9tZXJOYW1lXCIsXCJGaWxlSWRcIixcIlVzZXJJZFwiLFwiVGFn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RGF0ZVRpbWVcIixcIktUQlwiLFwiQ2xhc3NpZmljYXRpb25HdWlkXCJdIiwibm9PZkd2RGF0YUVudHJpZXMiOiI3IiwibGluZUlkIjoiMGRhNzFiMjYtY2ViMS00ZjA1LTlmZTgtZWM0YzI0OGY1ZGMzIiwidGFnc2V0X2UxNjQwOWE3XzE3MDBfNDE1M185MDkwXzM5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