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TTM TECHNOLOGIES, INC.</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TTM TECHNOLOGIES, INC.</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TTM TECHNOLOGIES, INC.</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TTM TECHNOLOGIES, INC.</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แนสแด็ก (NASDAQ)</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TTM TECHNOLOGIES, INC. ("TTM")</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TTM TECHNOLOGIES, INC.</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แนสแด็ก (NASDAQ)</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TTMI80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3AF5D90C"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A27AC1">
        <w:rPr>
          <w:rFonts w:asciiTheme="majorBidi" w:hAnsiTheme="majorBidi" w:cs="Angsana New"/>
          <w:b/>
          <w:bCs/>
          <w:noProof/>
          <w:sz w:val="28"/>
        </w:rPr>
        <w:t>1,000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18779D4D"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color w:val="000000"/>
          <w:sz w:val="28"/>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F657A" w:rsidRPr="00BD7623">
        <w:rPr>
          <w:rFonts w:ascii="Angsana New" w:eastAsia="Times New Roman" w:hAnsi="Angsana New" w:cs="Angsana New"/>
          <w:sz w:val="28"/>
          <w:cs/>
        </w:rPr>
        <w:t>[</w:t>
      </w:r>
      <w:r w:rsidR="009262B4" w:rsidRPr="005E479A">
        <w:rPr>
          <w:rFonts w:ascii="Angsana New" w:hAnsi="Angsana New" w:cs="Angsana New"/>
          <w:szCs w:val="32"/>
        </w:rPr>
        <w:sym w:font="Wingdings" w:char="F06C"/>
      </w:r>
      <w:r w:rsidR="003F657A" w:rsidRPr="00BD7623">
        <w:rPr>
          <w:rFonts w:ascii="Angsana New" w:eastAsia="Times New Roman" w:hAnsi="Angsana New" w:cs="Angsana New"/>
          <w:sz w:val="28"/>
          <w:cs/>
        </w:rPr>
        <w:t>]</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TTM TECHNOLOGIES, INC.</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200 East Sandpointe Avenue, Suite 400</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Santa Ana, CA 92707, USA</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+1 714-327-3000</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https://www.ttm.com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แนสแด็ก (NASDAQ)</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https://www.nasdaq.com/market-activity/stocks/ttmi</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2011A410" w14:textId="5FCFC005"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Overview</w:t>
      </w:r>
    </w:p>
    <w:p w14:paraId="7F735460" w14:textId="2330BEBA"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TTM Technologies is one of the world's largest manufacturers of advanced technology products, delivering mission-critical printed circuit boards, radio frequency components, microwave and microelectronic assemblies, and fully integrated engineered systems. Founded on the principle of compressing the electronics product development cycle, the company's name — TTM, or "time-to-market" — encapsulates its core operating philosophy: enabling customers to design, prototype, and manufacture sophisticated electronics faster and with greater reliability than legacy supply chain models permit. Headquartered in Santa Ana, California, TTM operates across 24 manufacturing facilities spanning North America and Asia, generating approximately $2.9 billion in net sales in fiscal year 2025 and employing roughly 18,200 people globally.</w:t>
      </w:r>
    </w:p>
    <w:p w14:paraId="4FCCA6A4" w14:textId="7921C0BC"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Principal Business Operations</w:t>
      </w:r>
    </w:p>
    <w:p w14:paraId="0678F3AB" w14:textId="40066139" w:rsidR="00E86AD9" w:rsidRPr="00E86AD9" w:rsidRDefault="00E86AD9" w:rsidP="00E86AD9">
      <w:pPr>
        <w:pStyle w:val="font-claude-response-body"/>
        <w:ind w:firstLine="360"/>
        <w:jc w:val="both"/>
        <w:rPr>
          <w:rFonts w:asciiTheme="majorBidi" w:hAnsiTheme="majorBidi" w:cstheme="majorBidi"/>
          <w:sz w:val="28"/>
          <w:szCs w:val="28"/>
        </w:rPr>
      </w:pPr>
      <w:r w:rsidRPr="00E86AD9">
        <w:rPr>
          <w:rFonts w:asciiTheme="majorBidi" w:hAnsiTheme="majorBidi" w:cstheme="majorBidi"/>
          <w:sz w:val="28"/>
          <w:szCs w:val="28"/>
        </w:rPr>
        <w:lastRenderedPageBreak/>
        <w:t>Operations are structured around three reportable segments that collectively serve the full spectrum of advanced electronics manufacturing demand:</w:t>
      </w:r>
    </w:p>
    <w:p w14:paraId="6928A649" w14:textId="77777777" w:rsidR="00E86AD9" w:rsidRPr="00E86AD9" w:rsidRDefault="00E86AD9" w:rsidP="00E86AD9">
      <w:pPr>
        <w:pStyle w:val="font-claude-response-body"/>
        <w:numPr>
          <w:ilvl w:val="0"/>
          <w:numId w:val="23"/>
        </w:numPr>
        <w:jc w:val="both"/>
        <w:rPr>
          <w:rFonts w:asciiTheme="majorBidi" w:hAnsiTheme="majorBidi" w:cstheme="majorBidi"/>
          <w:sz w:val="28"/>
          <w:szCs w:val="28"/>
        </w:rPr>
      </w:pPr>
      <w:r w:rsidRPr="00E86AD9">
        <w:rPr>
          <w:rStyle w:val="Strong"/>
          <w:rFonts w:asciiTheme="majorBidi" w:hAnsiTheme="majorBidi" w:cstheme="majorBidi"/>
          <w:sz w:val="28"/>
          <w:szCs w:val="28"/>
        </w:rPr>
        <w:t>Aerospace &amp; Defense (A&amp;D) Segment:</w:t>
      </w:r>
      <w:r w:rsidRPr="00E86AD9">
        <w:rPr>
          <w:rFonts w:asciiTheme="majorBidi" w:hAnsiTheme="majorBidi" w:cstheme="majorBidi"/>
          <w:sz w:val="28"/>
          <w:szCs w:val="28"/>
        </w:rPr>
        <w:t xml:space="preserve"> Produces mission systems, PCBs, rigid-flex circuits, microelectronics, and fully integrated assemblies for military platforms, radar systems, electronic warfare, and surveillance applications. This segment supports the most demanding performance, reliability, and security specifications in the electronics industry and accounts for approximately 43–45% of total revenues.</w:t>
      </w:r>
    </w:p>
    <w:p w14:paraId="57801D14" w14:textId="77777777" w:rsidR="00E86AD9" w:rsidRPr="00E86AD9" w:rsidRDefault="00E86AD9" w:rsidP="00E86AD9">
      <w:pPr>
        <w:pStyle w:val="font-claude-response-body"/>
        <w:numPr>
          <w:ilvl w:val="0"/>
          <w:numId w:val="23"/>
        </w:numPr>
        <w:jc w:val="both"/>
        <w:rPr>
          <w:rFonts w:asciiTheme="majorBidi" w:hAnsiTheme="majorBidi" w:cstheme="majorBidi"/>
          <w:sz w:val="28"/>
          <w:szCs w:val="28"/>
        </w:rPr>
      </w:pPr>
      <w:r w:rsidRPr="00E86AD9">
        <w:rPr>
          <w:rStyle w:val="Strong"/>
          <w:rFonts w:asciiTheme="majorBidi" w:hAnsiTheme="majorBidi" w:cstheme="majorBidi"/>
          <w:sz w:val="28"/>
          <w:szCs w:val="28"/>
        </w:rPr>
        <w:t>Commercial Segment:</w:t>
      </w:r>
      <w:r w:rsidRPr="00E86AD9">
        <w:rPr>
          <w:rFonts w:asciiTheme="majorBidi" w:hAnsiTheme="majorBidi" w:cstheme="majorBidi"/>
          <w:sz w:val="28"/>
          <w:szCs w:val="28"/>
        </w:rPr>
        <w:t xml:space="preserve"> Manufactures PCBs based on customer-supplied engineering and design plans for the automotive, data center computing, medical, industrial and instrumentation, and networking end markets. Generative AI infrastructure buildouts have driven data center computing to approximately 21–24% of total revenues, making it the fastest-growing commercial vertical.</w:t>
      </w:r>
    </w:p>
    <w:p w14:paraId="68E86AF2" w14:textId="77777777" w:rsidR="00E86AD9" w:rsidRPr="00E86AD9" w:rsidRDefault="00E86AD9" w:rsidP="00E86AD9">
      <w:pPr>
        <w:pStyle w:val="font-claude-response-body"/>
        <w:numPr>
          <w:ilvl w:val="0"/>
          <w:numId w:val="23"/>
        </w:numPr>
        <w:jc w:val="both"/>
        <w:rPr>
          <w:rFonts w:asciiTheme="majorBidi" w:hAnsiTheme="majorBidi" w:cstheme="majorBidi"/>
          <w:sz w:val="28"/>
          <w:szCs w:val="28"/>
        </w:rPr>
      </w:pPr>
      <w:r w:rsidRPr="00E86AD9">
        <w:rPr>
          <w:rStyle w:val="Strong"/>
          <w:rFonts w:asciiTheme="majorBidi" w:hAnsiTheme="majorBidi" w:cstheme="majorBidi"/>
          <w:sz w:val="28"/>
          <w:szCs w:val="28"/>
        </w:rPr>
        <w:t>RF &amp; Specialty Components (RF&amp;S) Segment:</w:t>
      </w:r>
      <w:r w:rsidRPr="00E86AD9">
        <w:rPr>
          <w:rFonts w:asciiTheme="majorBidi" w:hAnsiTheme="majorBidi" w:cstheme="majorBidi"/>
          <w:sz w:val="28"/>
          <w:szCs w:val="28"/>
        </w:rPr>
        <w:t xml:space="preserve"> Designs and manufactures TTM-proprietary RF components — including hybrid and directional couplers, baluns, power dividers, and RF resistors — as well as commercial off-the-shelf (COTS) components for telecommunications, instrumentation, and certain aerospace and defense customers.</w:t>
      </w:r>
    </w:p>
    <w:p w14:paraId="5A0B1132" w14:textId="759F9AF4"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Supply Chain and Infrastructure</w:t>
      </w:r>
    </w:p>
    <w:p w14:paraId="375BA839" w14:textId="1EEBE05D"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TTM operates a geographically distributed but tightly integrated manufacturing network combining domestic high-complexity production with Asia-Pacific volume capacity. In North America, the company maintains 15–16 system, subsystem, and PCB fabrication plants, with a new ultra-HDI (High-Density Interconnect) manufacturing facility under construction in Syracuse, New York, designed to serve classified U.S. national security requirements and expected to begin initial production in 2026. An automated PCB facility in Penang, Malaysia, opened to support customer supply chain resiliency and regional diversification, targeting breakeven in the second half of 2025. In Asia, four PCB fabrication facilities in China and one in Canada complement the global footprint. The company also acquired a facility in Wisconsin during 2025 to further expand North American domestic capacity.</w:t>
      </w:r>
    </w:p>
    <w:p w14:paraId="6C9BE9B2" w14:textId="346147E7"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Strategy and Future Prospects</w:t>
      </w:r>
    </w:p>
    <w:p w14:paraId="5251522C" w14:textId="07088325" w:rsidR="00E86AD9" w:rsidRPr="00E86AD9" w:rsidRDefault="00E86AD9" w:rsidP="00E86AD9">
      <w:pPr>
        <w:pStyle w:val="font-claude-response-body"/>
        <w:ind w:firstLine="360"/>
        <w:jc w:val="both"/>
        <w:rPr>
          <w:rFonts w:asciiTheme="majorBidi" w:hAnsiTheme="majorBidi" w:cstheme="majorBidi"/>
          <w:sz w:val="28"/>
          <w:szCs w:val="28"/>
        </w:rPr>
      </w:pPr>
      <w:r w:rsidRPr="00E86AD9">
        <w:rPr>
          <w:rFonts w:asciiTheme="majorBidi" w:hAnsiTheme="majorBidi" w:cstheme="majorBidi"/>
          <w:sz w:val="28"/>
          <w:szCs w:val="28"/>
        </w:rPr>
        <w:t>The strategic framework is centered on four interdependent pillars:</w:t>
      </w:r>
    </w:p>
    <w:p w14:paraId="14CA360F" w14:textId="77777777" w:rsidR="00E86AD9" w:rsidRPr="00E86AD9" w:rsidRDefault="00E86AD9" w:rsidP="00E86AD9">
      <w:pPr>
        <w:pStyle w:val="font-claude-response-body"/>
        <w:numPr>
          <w:ilvl w:val="0"/>
          <w:numId w:val="24"/>
        </w:numPr>
        <w:jc w:val="both"/>
        <w:rPr>
          <w:rFonts w:asciiTheme="majorBidi" w:hAnsiTheme="majorBidi" w:cstheme="majorBidi"/>
          <w:sz w:val="28"/>
          <w:szCs w:val="28"/>
        </w:rPr>
      </w:pPr>
      <w:r w:rsidRPr="00E86AD9">
        <w:rPr>
          <w:rStyle w:val="Strong"/>
          <w:rFonts w:asciiTheme="majorBidi" w:hAnsiTheme="majorBidi" w:cstheme="majorBidi"/>
          <w:sz w:val="28"/>
          <w:szCs w:val="28"/>
        </w:rPr>
        <w:t>Differentiated Engineering and Advanced Technology Migration:</w:t>
      </w:r>
      <w:r w:rsidRPr="00E86AD9">
        <w:rPr>
          <w:rFonts w:asciiTheme="majorBidi" w:hAnsiTheme="majorBidi" w:cstheme="majorBidi"/>
          <w:sz w:val="28"/>
          <w:szCs w:val="28"/>
        </w:rPr>
        <w:t xml:space="preserve"> Continuously shifting the revenue mix toward higher-complexity, lower-cyclicality products, including high-layer count PCBs, HDI boards, rigid-flex circuits, substrate-like PCBs, and RF subsystems, to increase the defensibility of margins against commoditized PCB manufacturers.</w:t>
      </w:r>
    </w:p>
    <w:p w14:paraId="2C888949" w14:textId="77777777" w:rsidR="00E86AD9" w:rsidRPr="00E86AD9" w:rsidRDefault="00E86AD9" w:rsidP="00E86AD9">
      <w:pPr>
        <w:pStyle w:val="font-claude-response-body"/>
        <w:numPr>
          <w:ilvl w:val="0"/>
          <w:numId w:val="24"/>
        </w:numPr>
        <w:jc w:val="both"/>
        <w:rPr>
          <w:rFonts w:asciiTheme="majorBidi" w:hAnsiTheme="majorBidi" w:cstheme="majorBidi"/>
          <w:sz w:val="28"/>
          <w:szCs w:val="28"/>
        </w:rPr>
      </w:pPr>
      <w:r w:rsidRPr="00E86AD9">
        <w:rPr>
          <w:rStyle w:val="Strong"/>
          <w:rFonts w:asciiTheme="majorBidi" w:hAnsiTheme="majorBidi" w:cstheme="majorBidi"/>
          <w:sz w:val="28"/>
          <w:szCs w:val="28"/>
        </w:rPr>
        <w:t>Aerospace and Defense Program Depth:</w:t>
      </w:r>
      <w:r w:rsidRPr="00E86AD9">
        <w:rPr>
          <w:rFonts w:asciiTheme="majorBidi" w:hAnsiTheme="majorBidi" w:cstheme="majorBidi"/>
          <w:sz w:val="28"/>
          <w:szCs w:val="28"/>
        </w:rPr>
        <w:t xml:space="preserve"> Expanding long-cycle, multi-year program revenue through engagement on major defense programs including SPY-7 radar, the MH-60R Seahawk helicopter, and the Japan Aerospace Defense Ground Environment (JADGE), which provide revenue predictability and insulation from commercial market volatility.</w:t>
      </w:r>
    </w:p>
    <w:p w14:paraId="0D0772F7" w14:textId="77777777" w:rsidR="00E86AD9" w:rsidRPr="00E86AD9" w:rsidRDefault="00E86AD9" w:rsidP="00E86AD9">
      <w:pPr>
        <w:pStyle w:val="font-claude-response-body"/>
        <w:numPr>
          <w:ilvl w:val="0"/>
          <w:numId w:val="24"/>
        </w:numPr>
        <w:jc w:val="both"/>
        <w:rPr>
          <w:rFonts w:asciiTheme="majorBidi" w:hAnsiTheme="majorBidi" w:cstheme="majorBidi"/>
          <w:sz w:val="28"/>
          <w:szCs w:val="28"/>
        </w:rPr>
      </w:pPr>
      <w:r w:rsidRPr="00E86AD9">
        <w:rPr>
          <w:rStyle w:val="Strong"/>
          <w:rFonts w:asciiTheme="majorBidi" w:hAnsiTheme="majorBidi" w:cstheme="majorBidi"/>
          <w:sz w:val="28"/>
          <w:szCs w:val="28"/>
        </w:rPr>
        <w:lastRenderedPageBreak/>
        <w:t>AI and Data Center Infrastructure Capture:</w:t>
      </w:r>
      <w:r w:rsidRPr="00E86AD9">
        <w:rPr>
          <w:rFonts w:asciiTheme="majorBidi" w:hAnsiTheme="majorBidi" w:cstheme="majorBidi"/>
          <w:sz w:val="28"/>
          <w:szCs w:val="28"/>
        </w:rPr>
        <w:t xml:space="preserve"> Capitalizing on hyperscaler investment cycles — driven by companies such as Google, CoreWeave, and Meta — by supplying the high-performance PCBs and interconnect products that underpin AI training and inference server buildouts, with generative AI-related demand representing nearly 30% of total revenue by mid-2025.</w:t>
      </w:r>
    </w:p>
    <w:p w14:paraId="71D21F1B" w14:textId="77777777" w:rsidR="00E86AD9" w:rsidRPr="00E86AD9" w:rsidRDefault="00E86AD9" w:rsidP="00E86AD9">
      <w:pPr>
        <w:pStyle w:val="font-claude-response-body"/>
        <w:numPr>
          <w:ilvl w:val="0"/>
          <w:numId w:val="24"/>
        </w:numPr>
        <w:jc w:val="both"/>
        <w:rPr>
          <w:rFonts w:asciiTheme="majorBidi" w:hAnsiTheme="majorBidi" w:cstheme="majorBidi"/>
          <w:sz w:val="28"/>
          <w:szCs w:val="28"/>
        </w:rPr>
      </w:pPr>
      <w:r w:rsidRPr="00E86AD9">
        <w:rPr>
          <w:rStyle w:val="Strong"/>
          <w:rFonts w:asciiTheme="majorBidi" w:hAnsiTheme="majorBidi" w:cstheme="majorBidi"/>
          <w:sz w:val="28"/>
          <w:szCs w:val="28"/>
        </w:rPr>
        <w:t>Domestic Supply Chain Resilience Positioning:</w:t>
      </w:r>
      <w:r w:rsidRPr="00E86AD9">
        <w:rPr>
          <w:rFonts w:asciiTheme="majorBidi" w:hAnsiTheme="majorBidi" w:cstheme="majorBidi"/>
          <w:sz w:val="28"/>
          <w:szCs w:val="28"/>
        </w:rPr>
        <w:t xml:space="preserve"> Investing in U.S.-based advanced manufacturing capacity to align with Department of Defense sourcing priorities and to capture government incentives for onshoring semiconductor and electronics supply chains.</w:t>
      </w:r>
    </w:p>
    <w:p w14:paraId="6FC17676" w14:textId="6BEA6DBF"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Value Propositions</w:t>
      </w:r>
    </w:p>
    <w:p w14:paraId="2500438D" w14:textId="131034AC"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TTM's core value proposition is the reduction of the electronics development and manufacturing cycle through a one-stop design, engineering, and production platform. For defense and government customers, the company offers unmatched manufacturing precision, regulatory compliance, and security clearances required for mission-critical systems. For commercial customers, the combination of rapid prototyping capabilities, broad material and technology expertise, and scalable volume production eliminates the fragmentation costs typically associated with engaging multiple specialty vendors.</w:t>
      </w:r>
    </w:p>
    <w:p w14:paraId="162C2BB4" w14:textId="77777777" w:rsidR="00E86AD9" w:rsidRP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Customer Segments</w:t>
      </w:r>
      <w:r w:rsidRPr="00E86AD9">
        <w:rPr>
          <w:rFonts w:asciiTheme="majorBidi" w:hAnsiTheme="majorBidi" w:cstheme="majorBidi"/>
          <w:sz w:val="28"/>
          <w:szCs w:val="28"/>
        </w:rPr>
        <w:br/>
        <w:t>TTM serves approximately 1,300–1,400 customers globally across a highly diversified end-market base:</w:t>
      </w:r>
    </w:p>
    <w:p w14:paraId="379543B3"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Aerospace and Defense Primes and Government Agencies:</w:t>
      </w:r>
      <w:r w:rsidRPr="00E86AD9">
        <w:rPr>
          <w:rFonts w:asciiTheme="majorBidi" w:hAnsiTheme="majorBidi" w:cstheme="majorBidi"/>
          <w:sz w:val="28"/>
          <w:szCs w:val="28"/>
        </w:rPr>
        <w:t xml:space="preserve"> Major defense OEMs, the U.S. military, and allied foreign government agencies requiring mission systems, radar electronics, and secure communications hardware.</w:t>
      </w:r>
    </w:p>
    <w:p w14:paraId="7453036A"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Data Center and Hyperscale Computing Operators:</w:t>
      </w:r>
      <w:r w:rsidRPr="00E86AD9">
        <w:rPr>
          <w:rFonts w:asciiTheme="majorBidi" w:hAnsiTheme="majorBidi" w:cstheme="majorBidi"/>
          <w:sz w:val="28"/>
          <w:szCs w:val="28"/>
        </w:rPr>
        <w:t xml:space="preserve"> Cloud infrastructure providers and AI server manufacturers sourcing high-performance interconnect products for next-generation compute platforms.</w:t>
      </w:r>
    </w:p>
    <w:p w14:paraId="2FB6EE19"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Automotive OEMs and Tier-1 Suppliers:</w:t>
      </w:r>
      <w:r w:rsidRPr="00E86AD9">
        <w:rPr>
          <w:rFonts w:asciiTheme="majorBidi" w:hAnsiTheme="majorBidi" w:cstheme="majorBidi"/>
          <w:sz w:val="28"/>
          <w:szCs w:val="28"/>
        </w:rPr>
        <w:t xml:space="preserve"> Global vehicle manufacturers integrating advanced electronics for powertrain, ADAS, and infotainment systems, though this segment has faced inventory normalization headwinds.</w:t>
      </w:r>
    </w:p>
    <w:p w14:paraId="17D900D6"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Medical, Industrial, and Instrumentation Manufacturers:</w:t>
      </w:r>
      <w:r w:rsidRPr="00E86AD9">
        <w:rPr>
          <w:rFonts w:asciiTheme="majorBidi" w:hAnsiTheme="majorBidi" w:cstheme="majorBidi"/>
          <w:sz w:val="28"/>
          <w:szCs w:val="28"/>
        </w:rPr>
        <w:t xml:space="preserve"> Producers of medical imaging equipment, precision instruments, and industrial automation systems requiring certified, high-reliability circuit board assemblies.</w:t>
      </w:r>
    </w:p>
    <w:p w14:paraId="7B01DDB7"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Telecommunications and Networking Equipment Providers:</w:t>
      </w:r>
      <w:r w:rsidRPr="00E86AD9">
        <w:rPr>
          <w:rFonts w:asciiTheme="majorBidi" w:hAnsiTheme="majorBidi" w:cstheme="majorBidi"/>
          <w:sz w:val="28"/>
          <w:szCs w:val="28"/>
        </w:rPr>
        <w:t xml:space="preserve"> OEMs building 5G transceiver infrastructure, switching systems, and wireless access platforms requiring RF-optimized PCBs and specialty components.</w:t>
      </w:r>
    </w:p>
    <w:p w14:paraId="469B93A8" w14:textId="597C61F5"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Customer Relationships</w:t>
      </w:r>
    </w:p>
    <w:p w14:paraId="11A3BCBB" w14:textId="1B813359"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Customer relationships are built on long-term technical collaboration, program-level integration, and deep engineering co-development. In the A&amp;D segment, contracts are typically multi-year, program-specific, and governed by stringent qualification and certification requirements that create substantial switching costs. In the Commercial segment, relationships are maintained through consistent on-time delivery performance, rapid-turn prototyping responsiveness, and technology roadmap alignment. TTM's top five customers consistently account for approximately 41–45% of net revenues, underscoring the depth of strategic engagements with key accounts.</w:t>
      </w:r>
    </w:p>
    <w:p w14:paraId="4C49AF59" w14:textId="41D8C8B7"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lastRenderedPageBreak/>
        <w:t>Channels</w:t>
      </w:r>
    </w:p>
    <w:p w14:paraId="518C002A" w14:textId="13C6CA40"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Sales and fulfillment are conducted through direct enterprise sales teams organized by segment and geography. The A&amp;D segment operates through dedicated program management and named-account sales teams engaging directly with prime defense contractors and government procurement offices. The Commercial segment operates through direct account managers and application engineering teams embedded with OEMs, EMS providers, ODMs, distributors, and government agencies to facilitate design-stage engagement and volume ramp.</w:t>
      </w:r>
    </w:p>
    <w:p w14:paraId="43DA0B8F" w14:textId="1EFA36C2"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Revenue Streams</w:t>
      </w:r>
    </w:p>
    <w:p w14:paraId="02EF27E0" w14:textId="1ED09B14" w:rsidR="00E86AD9" w:rsidRPr="00E86AD9" w:rsidRDefault="00E86AD9" w:rsidP="00E86AD9">
      <w:pPr>
        <w:pStyle w:val="font-claude-response-body"/>
        <w:ind w:firstLine="360"/>
        <w:jc w:val="both"/>
        <w:rPr>
          <w:rFonts w:asciiTheme="majorBidi" w:hAnsiTheme="majorBidi" w:cstheme="majorBidi"/>
          <w:sz w:val="28"/>
          <w:szCs w:val="28"/>
        </w:rPr>
      </w:pPr>
      <w:r w:rsidRPr="00E86AD9">
        <w:rPr>
          <w:rFonts w:asciiTheme="majorBidi" w:hAnsiTheme="majorBidi" w:cstheme="majorBidi"/>
          <w:sz w:val="28"/>
          <w:szCs w:val="28"/>
        </w:rPr>
        <w:t>Revenue is generated primarily through two mechanisms:</w:t>
      </w:r>
    </w:p>
    <w:p w14:paraId="2BD95CF8" w14:textId="77777777" w:rsidR="00E86AD9" w:rsidRPr="00E86AD9" w:rsidRDefault="00E86AD9" w:rsidP="00E86AD9">
      <w:pPr>
        <w:pStyle w:val="font-claude-response-body"/>
        <w:numPr>
          <w:ilvl w:val="0"/>
          <w:numId w:val="26"/>
        </w:numPr>
        <w:jc w:val="both"/>
        <w:rPr>
          <w:rFonts w:asciiTheme="majorBidi" w:hAnsiTheme="majorBidi" w:cstheme="majorBidi"/>
          <w:sz w:val="28"/>
          <w:szCs w:val="28"/>
        </w:rPr>
      </w:pPr>
      <w:r w:rsidRPr="00E86AD9">
        <w:rPr>
          <w:rStyle w:val="Strong"/>
          <w:rFonts w:asciiTheme="majorBidi" w:hAnsiTheme="majorBidi" w:cstheme="majorBidi"/>
          <w:sz w:val="28"/>
          <w:szCs w:val="28"/>
        </w:rPr>
        <w:t>Products Revenue:</w:t>
      </w:r>
      <w:r w:rsidRPr="00E86AD9">
        <w:rPr>
          <w:rFonts w:asciiTheme="majorBidi" w:hAnsiTheme="majorBidi" w:cstheme="majorBidi"/>
          <w:sz w:val="28"/>
          <w:szCs w:val="28"/>
        </w:rPr>
        <w:t xml:space="preserve"> The dominant revenue stream, comprising PCB fabrication and delivery, RF component manufacturing, and system and subsystem assembly under purchase orders and long-term supply agreements.</w:t>
      </w:r>
    </w:p>
    <w:p w14:paraId="4CD07076" w14:textId="77777777" w:rsidR="00E86AD9" w:rsidRPr="00E86AD9" w:rsidRDefault="00E86AD9" w:rsidP="00E86AD9">
      <w:pPr>
        <w:pStyle w:val="font-claude-response-body"/>
        <w:numPr>
          <w:ilvl w:val="0"/>
          <w:numId w:val="26"/>
        </w:numPr>
        <w:jc w:val="both"/>
        <w:rPr>
          <w:rFonts w:asciiTheme="majorBidi" w:hAnsiTheme="majorBidi" w:cstheme="majorBidi"/>
          <w:sz w:val="28"/>
          <w:szCs w:val="28"/>
        </w:rPr>
      </w:pPr>
      <w:r w:rsidRPr="00E86AD9">
        <w:rPr>
          <w:rStyle w:val="Strong"/>
          <w:rFonts w:asciiTheme="majorBidi" w:hAnsiTheme="majorBidi" w:cstheme="majorBidi"/>
          <w:sz w:val="28"/>
          <w:szCs w:val="28"/>
        </w:rPr>
        <w:t>Services Revenue:</w:t>
      </w:r>
      <w:r w:rsidRPr="00E86AD9">
        <w:rPr>
          <w:rFonts w:asciiTheme="majorBidi" w:hAnsiTheme="majorBidi" w:cstheme="majorBidi"/>
          <w:sz w:val="28"/>
          <w:szCs w:val="28"/>
        </w:rPr>
        <w:t xml:space="preserve"> Engineering services, design layout, simulation and testing, and government-contracted system integration work, supplementing product revenue with higher-margin technical services.</w:t>
      </w:r>
    </w:p>
    <w:p w14:paraId="6B4BE254" w14:textId="59369A77"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Key Activities and Resources</w:t>
      </w:r>
    </w:p>
    <w:p w14:paraId="73772B97" w14:textId="3498F716"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Core activities include high-precision PCB fabrication across multiple technology classes (standard, HDI, rigid-flex, substrate-like, and RF-optimized), RF component design and manufacturing, system-level integration and testing, and rapid-turn prototyping services. Critical resources include an extensive intellectual property portfolio covering PCB architectures, RF component designs, and manufacturing process technologies; a geographically diversified facility network with strategic domestic capacity for national security work; deep engineering talent pools across materials science, RF engineering, and advanced interconnect design; and established program qualification credentials across major U.S. defense platforms.</w:t>
      </w:r>
    </w:p>
    <w:p w14:paraId="144D8870" w14:textId="7D77DACB" w:rsidR="00E86AD9" w:rsidRP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Key Partnerships and Cost Structure</w:t>
      </w:r>
    </w:p>
    <w:p w14:paraId="205429C1" w14:textId="6A994088" w:rsidR="008D2571"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Strategic partnerships include program-level relationships with major defense primes and aerospace OEMs, integration with government defense procurement frameworks, and distribution alignments with EMS providers and ODMs that amplify commercial reach. The cost structure is primarily driven by raw material procurement (laminates, copper, specialty substrates), capital expenditure for precision manufacturing equipment and facility expansion, personnel costs for highly skilled engineering and production workforces, and the ongoing cost of facility ramp-up and qualification activities associated with new plants in Penang and Syracuse. Depreciation and amortization associated with capital-intensive fabrication infrastructure represent a meaningful fixed cost base, which the company manages by targeting high capacity utilization — particularly in Asia-Pacific, where utilization reached approximately 58% in early 2025 — to drive operating leverage.</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7D1D5D82" w:rsidR="00222249" w:rsidRPr="001457EB" w:rsidRDefault="00E86AD9" w:rsidP="008E64CF">
      <w:pPr>
        <w:spacing w:after="0"/>
        <w:ind w:right="52"/>
        <w:rPr>
          <w:rFonts w:asciiTheme="majorBidi" w:hAnsiTheme="majorBidi" w:cstheme="majorBidi"/>
          <w:sz w:val="28"/>
        </w:rPr>
      </w:pPr>
      <w:permStart w:id="538801036" w:edGrp="everyone"/>
      <w:r w:rsidRPr="00E86AD9">
        <w:rPr>
          <w:rFonts w:asciiTheme="majorBidi" w:hAnsiTheme="majorBidi" w:cstheme="majorBidi"/>
          <w:sz w:val="28"/>
        </w:rPr>
        <w:t>https://investors.ttm.com/sec-filings/all-sec-filings?page=85</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lastRenderedPageBreak/>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https://www.ttm.com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https://investors.ttm.com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https://investors.ttm.com/news-and-events</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แนสแด็ก (NASDAQ)</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lastRenderedPageBreak/>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B97F1" w14:textId="77777777" w:rsidR="006D08AD" w:rsidRDefault="006D08AD" w:rsidP="00105AC2">
      <w:pPr>
        <w:spacing w:after="0" w:line="240" w:lineRule="auto"/>
      </w:pPr>
      <w:r>
        <w:separator/>
      </w:r>
    </w:p>
  </w:endnote>
  <w:endnote w:type="continuationSeparator" w:id="0">
    <w:p w14:paraId="7DC2BDD1" w14:textId="77777777" w:rsidR="006D08AD" w:rsidRDefault="006D08AD" w:rsidP="00105AC2">
      <w:pPr>
        <w:spacing w:after="0" w:line="240" w:lineRule="auto"/>
      </w:pPr>
      <w:r>
        <w:continuationSeparator/>
      </w:r>
    </w:p>
  </w:endnote>
  <w:endnote w:type="continuationNotice" w:id="1">
    <w:p w14:paraId="13C15E6F" w14:textId="77777777" w:rsidR="006D08AD" w:rsidRDefault="006D08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C63AB" w14:textId="77777777" w:rsidR="006D08AD" w:rsidRDefault="006D08AD" w:rsidP="00105AC2">
      <w:pPr>
        <w:spacing w:after="0" w:line="240" w:lineRule="auto"/>
      </w:pPr>
      <w:r>
        <w:separator/>
      </w:r>
    </w:p>
  </w:footnote>
  <w:footnote w:type="continuationSeparator" w:id="0">
    <w:p w14:paraId="45D11B90" w14:textId="77777777" w:rsidR="006D08AD" w:rsidRDefault="006D08AD" w:rsidP="00105AC2">
      <w:pPr>
        <w:spacing w:after="0" w:line="240" w:lineRule="auto"/>
      </w:pPr>
      <w:r>
        <w:continuationSeparator/>
      </w:r>
    </w:p>
  </w:footnote>
  <w:footnote w:type="continuationNotice" w:id="1">
    <w:p w14:paraId="6B8CC140" w14:textId="77777777" w:rsidR="006D08AD" w:rsidRDefault="006D08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B671FE4"/>
    <w:multiLevelType w:val="multilevel"/>
    <w:tmpl w:val="3B4A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7CD4D00"/>
    <w:multiLevelType w:val="multilevel"/>
    <w:tmpl w:val="7D34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4B5C42"/>
    <w:multiLevelType w:val="multilevel"/>
    <w:tmpl w:val="5272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3C22E8"/>
    <w:multiLevelType w:val="multilevel"/>
    <w:tmpl w:val="B368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5"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72763572">
    <w:abstractNumId w:val="16"/>
  </w:num>
  <w:num w:numId="2" w16cid:durableId="487944854">
    <w:abstractNumId w:val="18"/>
  </w:num>
  <w:num w:numId="3" w16cid:durableId="420880227">
    <w:abstractNumId w:val="14"/>
  </w:num>
  <w:num w:numId="4" w16cid:durableId="1567687658">
    <w:abstractNumId w:val="2"/>
  </w:num>
  <w:num w:numId="5" w16cid:durableId="78060109">
    <w:abstractNumId w:val="11"/>
  </w:num>
  <w:num w:numId="6" w16cid:durableId="661548532">
    <w:abstractNumId w:val="23"/>
  </w:num>
  <w:num w:numId="7" w16cid:durableId="64693922">
    <w:abstractNumId w:val="4"/>
  </w:num>
  <w:num w:numId="8" w16cid:durableId="1649505959">
    <w:abstractNumId w:val="24"/>
  </w:num>
  <w:num w:numId="9" w16cid:durableId="1152215198">
    <w:abstractNumId w:val="5"/>
  </w:num>
  <w:num w:numId="10" w16cid:durableId="373580684">
    <w:abstractNumId w:val="9"/>
  </w:num>
  <w:num w:numId="11" w16cid:durableId="1340154958">
    <w:abstractNumId w:val="3"/>
  </w:num>
  <w:num w:numId="12" w16cid:durableId="401024630">
    <w:abstractNumId w:val="17"/>
  </w:num>
  <w:num w:numId="13" w16cid:durableId="1679236153">
    <w:abstractNumId w:val="20"/>
  </w:num>
  <w:num w:numId="14" w16cid:durableId="339742151">
    <w:abstractNumId w:val="1"/>
  </w:num>
  <w:num w:numId="15" w16cid:durableId="348916900">
    <w:abstractNumId w:val="0"/>
  </w:num>
  <w:num w:numId="16" w16cid:durableId="279531388">
    <w:abstractNumId w:val="8"/>
  </w:num>
  <w:num w:numId="17" w16cid:durableId="218133280">
    <w:abstractNumId w:val="12"/>
  </w:num>
  <w:num w:numId="18" w16cid:durableId="288509096">
    <w:abstractNumId w:val="7"/>
  </w:num>
  <w:num w:numId="19" w16cid:durableId="772943767">
    <w:abstractNumId w:val="21"/>
  </w:num>
  <w:num w:numId="20" w16cid:durableId="57243172">
    <w:abstractNumId w:val="13"/>
  </w:num>
  <w:num w:numId="21" w16cid:durableId="1170102535">
    <w:abstractNumId w:val="19"/>
  </w:num>
  <w:num w:numId="22" w16cid:durableId="1239554718">
    <w:abstractNumId w:val="25"/>
  </w:num>
  <w:num w:numId="23" w16cid:durableId="297078194">
    <w:abstractNumId w:val="22"/>
  </w:num>
  <w:num w:numId="24" w16cid:durableId="1869680891">
    <w:abstractNumId w:val="10"/>
  </w:num>
  <w:num w:numId="25" w16cid:durableId="116218018">
    <w:abstractNumId w:val="15"/>
  </w:num>
  <w:num w:numId="26" w16cid:durableId="1122261006">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NzllNzcyOWEtMTUwNS00Y2UyLTk4ZDItYjI4ODM2ZmFlY2E4XCIsXCI3OGNiMmUzZi00"/>
    <w:docVar w:name="GVData0" w:val="NjVlLTQ4NWItYTU3Ni1iOWI5YjRiY2ZmNTRcIixcImQ1YzM0Yzk3LTRhOTQtNDM0My05ZTAzLTEwYjYzNDg5MjdjNFwiLFwiZmNkM2U3MGYtMjIyNC00YmExLTk2YmQtNWZiZDY0YzJjOGM4XCIsXCI4MzQ1N2JlNS04MWFlLTQwYmQtYWMyMy04OTFiNWVmNWIwYmFc"/>
    <w:docVar w:name="GVData1" w:val="IixcIjI0YWExMDA2LWVmMDUtNGZjZC04YTVmLTNhZGRjNDg1ODQ0ZFwiLFwiM2M0MjEwNzAtZjI1Mi00NWU5LTg5NTItNjY4Yzc3ZDllZWRiXCIsXCI2NGQwMzA5ZS04M2IxLTRjNDMtOWI1YS0yNTZhYTdlZGM1YzNcIixcImRlNWQ2MjAzLWQ2ZDMtNDBiZi04YjE1"/>
    <w:docVar w:name="GVData2" w:val="LTBlZmU5ZGI1NzdkY1wiLFwiMTM1NmY1NTAtMTM5OC00OGVkLWIzN2EtOWEwYjVlNmIyMjNiXCJdIiwid3JpdHRlbktleXMiOiJbXCJndmRvY2lkXCIsXCJDbGFzc2lmaWNhdGlvblwiLFwiQ3VzdG9tZXJOYW1lXCIsXCJGaWxlSWRcIixcIlVzZXJJZFwiLFwiVGFn"/>
    <w:docVar w:name="GVData3" w:val="RGF0ZVRpbWVcIixcIktUQlwiLFwiQ2xhc3NpZmljYXRpb25HdWlkXCJdIiwibm9PZkd2RGF0YUVudHJpZXMiOiI3IiwibGluZUlkIjoiNTE2NzRhODktNTIxMS00YThhLThjMjctOWUxYzIzNjdmODc0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6-16T07:37:52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AD"/>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2B4"/>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225E"/>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995"/>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86AD9"/>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E86AD9"/>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E86A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39</TotalTime>
  <Pages>14</Pages>
  <Words>6002</Words>
  <Characters>31336</Characters>
  <Application>Microsoft Office Word</Application>
  <DocSecurity>8</DocSecurity>
  <Lines>401</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37156</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10</cp:revision>
  <cp:lastPrinted>2025-12-16T04:53:00Z</cp:lastPrinted>
  <dcterms:created xsi:type="dcterms:W3CDTF">2026-04-27T09:24:00Z</dcterms:created>
  <dcterms:modified xsi:type="dcterms:W3CDTF">2026-06-16T07:37:00Z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2569-06-16T07:37:52Z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eyJPUyI6IldpbmRvd3MiLCJkb2NJRCI6IjZlMjc0YWIzLTcyZDEtNGFjYi1hNzc5LWFlNzBlZWFhOGI0ZiIsImRvY1N0YXRlIjoie30iLCJwYXJlbnRMaW5lSWRzIjoiW1wiNzllNzcyOWEtMTUwNS00Y2UyLTk4ZDItYjI4ODM2ZmFlY2E4XCIsXCI3OGNiMmUzZi00</vt:lpwstr>
  </property>
  <property fmtid="{D5CDD505-2E9C-101B-9397-08002B2CF9AE}" pid="9" name="GVData0">
    <vt:lpwstr>NjVlLTQ4NWItYTU3Ni1iOWI5YjRiY2ZmNTRcIixcImQ1YzM0Yzk3LTRhOTQtNDM0My05ZTAzLTEwYjYzNDg5MjdjNFwiLFwiZmNkM2U3MGYtMjIyNC00YmExLTk2YmQtNWZiZDY0YzJjOGM4XCIsXCI4MzQ1N2JlNS04MWFlLTQwYmQtYWMyMy04OTFiNWVmNWIwYmFc</vt:lpwstr>
  </property>
  <property fmtid="{D5CDD505-2E9C-101B-9397-08002B2CF9AE}" pid="10" name="GVData1">
    <vt:lpwstr>IixcIjI0YWExMDA2LWVmMDUtNGZjZC04YTVmLTNhZGRjNDg1ODQ0ZFwiLFwiM2M0MjEwNzAtZjI1Mi00NWU5LTg5NTItNjY4Yzc3ZDllZWRiXCIsXCI2NGQwMzA5ZS04M2IxLTRjNDMtOWI1YS0yNTZhYTdlZGM1YzNcIixcImRlNWQ2MjAzLWQ2ZDMtNDBiZi04YjE1</vt:lpwstr>
  </property>
  <property fmtid="{D5CDD505-2E9C-101B-9397-08002B2CF9AE}" pid="11" name="GVData2">
    <vt:lpwstr>LTBlZmU5ZGI1NzdkY1wiLFwiMTM1NmY1NTAtMTM5OC00OGVkLWIzN2EtOWEwYjVlNmIyMjNiXCJdIiwid3JpdHRlbktleXMiOiJbXCJndmRvY2lkXCIsXCJDbGFzc2lmaWNhdGlvblwiLFwiQ3VzdG9tZXJOYW1lXCIsXCJGaWxlSWRcIixcIlVzZXJJZFwiLFwiVGFn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RGF0ZVRpbWVcIixcIktUQlwiLFwiQ2xhc3NpZmljYXRpb25HdWlkXCJdIiwibm9PZkd2RGF0YUVudHJpZXMiOiI3IiwibGluZUlkIjoiNTE2NzRhODktNTIxMS00YThhLThjMjctOWUxYzIzNjdmODc0IiwidGFnc2V0X2UxNjQwOWE3XzE3MDBfNDE1M185MDkwXzM5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