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555CFF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400B4EF3" w:rsidR="0086422A" w:rsidRPr="00FF5A19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3260DD" w:rsidRPr="003260DD">
        <w:rPr>
          <w:rFonts w:ascii="Angsana New" w:eastAsia="Angsana New" w:hAnsi="Angsana New" w:cs="Angsana New"/>
          <w:b/>
          <w:bCs/>
          <w:sz w:val="28"/>
        </w:rPr>
        <w:t>VISA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</w:t>
      </w:r>
      <w:r w:rsidRPr="00FF5A19">
        <w:rPr>
          <w:rFonts w:ascii="Angsana New" w:eastAsia="Angsana New" w:hAnsi="Angsana New" w:cs="Angsana New"/>
          <w:b/>
          <w:bCs/>
          <w:sz w:val="28"/>
          <w:cs/>
        </w:rPr>
        <w:t xml:space="preserve">อ้างอิง </w:t>
      </w:r>
      <w:r w:rsidR="003260DD" w:rsidRPr="00FF5A19">
        <w:rPr>
          <w:rFonts w:ascii="Angsana New" w:eastAsia="Angsana New" w:hAnsi="Angsana New" w:cs="Angsana New"/>
          <w:b/>
          <w:bCs/>
          <w:sz w:val="28"/>
        </w:rPr>
        <w:t>V</w:t>
      </w:r>
      <w:r w:rsidR="00C16A68" w:rsidRPr="00FF5A19">
        <w:rPr>
          <w:rFonts w:ascii="Angsana New" w:eastAsia="Angsana New" w:hAnsi="Angsana New" w:cs="Angsana New"/>
          <w:b/>
          <w:bCs/>
          <w:sz w:val="28"/>
        </w:rPr>
        <w:t>ISA</w:t>
      </w:r>
      <w:r w:rsidR="0006058E" w:rsidRPr="00FF5A19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FF5A19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CE08CDC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FF5A19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FF5A19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FF5A19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FF5A19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3260DD" w:rsidRPr="00FF5A19">
        <w:rPr>
          <w:rFonts w:ascii="Angsana New" w:eastAsia="Angsana New" w:hAnsi="Angsana New" w:cs="Angsana New"/>
          <w:sz w:val="28"/>
        </w:rPr>
        <w:t>VISA INC.</w:t>
      </w:r>
      <w:r w:rsidR="00B57078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ซึ่</w:t>
      </w:r>
      <w:r w:rsidR="00AF4F85" w:rsidRPr="00FF5A19">
        <w:rPr>
          <w:rFonts w:ascii="Angsana New" w:eastAsia="Angsana New" w:hAnsi="Angsana New" w:cs="Angsana New"/>
          <w:sz w:val="28"/>
          <w:cs/>
        </w:rPr>
        <w:t>ง</w:t>
      </w:r>
      <w:r w:rsidRPr="00FF5A19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FF5A19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 w:rsidRPr="00FF5A19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FF5A19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 w:rsidRPr="00FF5A19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FF5A19">
        <w:rPr>
          <w:rFonts w:ascii="Angsana New" w:hAnsi="Angsana New" w:cs="Angsana New"/>
          <w:b/>
          <w:bCs/>
          <w:noProof/>
          <w:sz w:val="28"/>
        </w:rPr>
        <w:t>)</w:t>
      </w:r>
      <w:r w:rsidRPr="00FF5A19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FF5A19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FF5A19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FF5A19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FF5A19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FF5A19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FF5A19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FF5A19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FF5A19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FF5A19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ๆ</w:t>
      </w:r>
      <w:r w:rsidR="00A008C2" w:rsidRPr="00FF5A19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FF5A19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FF5A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FF5A19">
        <w:rPr>
          <w:rFonts w:ascii="Angsana New" w:eastAsia="Angsana New" w:hAnsi="Angsana New" w:cs="Angsana New"/>
          <w:b/>
          <w:sz w:val="28"/>
        </w:rPr>
        <w:t xml:space="preserve">1  </w:t>
      </w:r>
      <w:r w:rsidRPr="00FF5A19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FF5A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FF5A19">
        <w:rPr>
          <w:rFonts w:ascii="Angsana New" w:eastAsia="Angsana New" w:hAnsi="Angsana New" w:cs="Angsana New"/>
          <w:sz w:val="28"/>
        </w:rPr>
        <w:tab/>
      </w:r>
      <w:r w:rsidRPr="00FF5A19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FF5A19">
        <w:rPr>
          <w:rFonts w:ascii="Angsana New" w:eastAsia="Angsana New" w:hAnsi="Angsana New" w:cs="Angsana New"/>
          <w:sz w:val="28"/>
        </w:rPr>
        <w:tab/>
      </w:r>
      <w:r w:rsidRPr="00FF5A19">
        <w:rPr>
          <w:rFonts w:ascii="Angsana New" w:eastAsia="Angsana New" w:hAnsi="Angsana New" w:cs="Angsana New"/>
          <w:sz w:val="28"/>
        </w:rPr>
        <w:tab/>
      </w:r>
      <w:r w:rsidRPr="00FF5A19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35EE3A4C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FF5A19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FF5A19">
        <w:rPr>
          <w:rFonts w:ascii="Angsana New" w:eastAsia="Angsana New" w:hAnsi="Angsana New" w:cs="Angsana New"/>
          <w:sz w:val="28"/>
        </w:rPr>
        <w:tab/>
      </w:r>
      <w:r w:rsidRPr="00FF5A19">
        <w:rPr>
          <w:rFonts w:ascii="Angsana New" w:eastAsia="Angsana New" w:hAnsi="Angsana New" w:cs="Angsana New"/>
          <w:sz w:val="28"/>
          <w:cs/>
        </w:rPr>
        <w:t>:     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FF5A19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FF5A19">
        <w:rPr>
          <w:rFonts w:ascii="Angsana New" w:eastAsia="Angsana New" w:hAnsi="Angsana New" w:cs="Angsana New"/>
          <w:sz w:val="28"/>
        </w:rPr>
        <w:t xml:space="preserve"> </w:t>
      </w:r>
      <w:r w:rsidR="005A3597" w:rsidRPr="00FF5A19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FF5A19">
        <w:rPr>
          <w:rFonts w:ascii="Angsana New" w:eastAsia="Angsana New" w:hAnsi="Angsana New" w:cs="Angsana New"/>
          <w:sz w:val="28"/>
        </w:rPr>
        <w:t xml:space="preserve"> </w:t>
      </w:r>
      <w:r w:rsidR="003260DD" w:rsidRPr="00FF5A19">
        <w:rPr>
          <w:rFonts w:ascii="Angsana New" w:eastAsia="Angsana New" w:hAnsi="Angsana New" w:cs="Angsana New"/>
          <w:sz w:val="28"/>
        </w:rPr>
        <w:t>VISA INC.</w:t>
      </w:r>
      <w:r w:rsidR="00B57078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3260DD" w:rsidRPr="00FF5A19">
        <w:rPr>
          <w:rFonts w:ascii="Angsana New" w:eastAsia="Angsana New" w:hAnsi="Angsana New" w:cs="Angsana New"/>
          <w:sz w:val="28"/>
        </w:rPr>
        <w:t>V</w:t>
      </w:r>
      <w:r w:rsidR="00C16A68" w:rsidRPr="00FF5A19">
        <w:rPr>
          <w:rFonts w:ascii="Angsana New" w:eastAsia="Angsana New" w:hAnsi="Angsana New" w:cs="Angsana New"/>
          <w:sz w:val="28"/>
        </w:rPr>
        <w:t>ISA</w:t>
      </w:r>
      <w:r w:rsidR="0006058E" w:rsidRPr="00FF5A19">
        <w:rPr>
          <w:rFonts w:ascii="Angsana New" w:eastAsia="Angsana New" w:hAnsi="Angsana New" w:cs="Angsana New"/>
          <w:sz w:val="28"/>
        </w:rPr>
        <w:t>80X</w:t>
      </w:r>
      <w:r w:rsidR="00D35C02" w:rsidRPr="00FF5A19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7EAEF2EA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0A28685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3260DD">
        <w:rPr>
          <w:rFonts w:ascii="Angsana New" w:eastAsia="Angsana New" w:hAnsi="Angsana New" w:cs="Angsana New"/>
          <w:sz w:val="28"/>
        </w:rPr>
        <w:t>8</w:t>
      </w:r>
      <w:r w:rsidR="007B7E24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3260DD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5F01CB4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4B3799D6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7F5D39" w:rsidRPr="007F5D39">
        <w:rPr>
          <w:rFonts w:ascii="Angsana New" w:eastAsia="Angsana New" w:hAnsi="Angsana New" w:cs="Angsana New"/>
          <w:sz w:val="28"/>
        </w:rPr>
        <w:t>VISA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555CFF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6CE526E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617805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555CFF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555CFF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555CFF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555CFF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555CFF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555CFF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555CFF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067EE41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FF5A19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E22ACE" w:rsidRPr="00FF5A19">
        <w:rPr>
          <w:rFonts w:ascii="Angsana New" w:eastAsia="Angsana New" w:hAnsi="Angsana New" w:cs="Angsana New"/>
          <w:sz w:val="28"/>
        </w:rPr>
        <w:t>2</w:t>
      </w:r>
      <w:r w:rsidR="007F5D39" w:rsidRPr="00FF5A19">
        <w:rPr>
          <w:rFonts w:ascii="Angsana New" w:eastAsia="Angsana New" w:hAnsi="Angsana New" w:cs="Angsana New"/>
          <w:sz w:val="28"/>
        </w:rPr>
        <w:t>5</w:t>
      </w:r>
      <w:r w:rsidR="007B7E24" w:rsidRPr="00FF5A19">
        <w:rPr>
          <w:rFonts w:ascii="Angsana New" w:eastAsia="Angsana New" w:hAnsi="Angsana New" w:cs="Angsana New"/>
          <w:sz w:val="28"/>
        </w:rPr>
        <w:t>,000</w:t>
      </w:r>
      <w:r w:rsidR="003B3E08"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Pr="00FF5A19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FF5A19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FF5A19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FF5A19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FF5A19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FF5A19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</w:t>
      </w:r>
      <w:bookmarkStart w:id="7" w:name="_GoBack"/>
      <w:bookmarkEnd w:id="7"/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53BF" w14:textId="77777777" w:rsidR="00555CFF" w:rsidRDefault="00555C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6C6AB5" w14:textId="77777777" w:rsidR="00555CFF" w:rsidRDefault="00555CFF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654BDE14" w14:textId="77777777" w:rsidR="00555CFF" w:rsidRDefault="00555CFF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488995B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F5A19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F5A19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2C392" w14:textId="77777777" w:rsidR="00555CFF" w:rsidRDefault="00555C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7AD1FE" w14:textId="77777777" w:rsidR="00555CFF" w:rsidRDefault="00555CFF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CB59868" w14:textId="77777777" w:rsidR="00555CFF" w:rsidRDefault="00555CFF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5CD3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058E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84C4E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2B1C"/>
    <w:rsid w:val="00313E37"/>
    <w:rsid w:val="003145C0"/>
    <w:rsid w:val="003260DD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35E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4F35DA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55CFF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17805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F5D39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4D0F"/>
    <w:rsid w:val="00816CB0"/>
    <w:rsid w:val="00825914"/>
    <w:rsid w:val="00827BAC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6EDD"/>
    <w:rsid w:val="00887570"/>
    <w:rsid w:val="00887C18"/>
    <w:rsid w:val="008A2668"/>
    <w:rsid w:val="008A34A2"/>
    <w:rsid w:val="008A4657"/>
    <w:rsid w:val="008A5764"/>
    <w:rsid w:val="008B0BCE"/>
    <w:rsid w:val="008B184D"/>
    <w:rsid w:val="008B2019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424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37A7F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85F46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16A68"/>
    <w:rsid w:val="00C26CD8"/>
    <w:rsid w:val="00C30028"/>
    <w:rsid w:val="00C416F4"/>
    <w:rsid w:val="00C42F4B"/>
    <w:rsid w:val="00C45B6B"/>
    <w:rsid w:val="00C536EF"/>
    <w:rsid w:val="00C566AD"/>
    <w:rsid w:val="00C61B10"/>
    <w:rsid w:val="00C65DEF"/>
    <w:rsid w:val="00C65EF0"/>
    <w:rsid w:val="00C66111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2ACE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C6763"/>
    <w:rsid w:val="00EC69A8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8018D1-AE35-4684-99FF-5EDFF64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10496</Words>
  <Characters>59828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7</cp:revision>
  <cp:lastPrinted>2023-05-10T06:45:00Z</cp:lastPrinted>
  <dcterms:created xsi:type="dcterms:W3CDTF">2024-05-15T15:46:00Z</dcterms:created>
  <dcterms:modified xsi:type="dcterms:W3CDTF">2024-06-05T10:21:00Z</dcterms:modified>
</cp:coreProperties>
</file>