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1475375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27357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AD093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D6A000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0B00EE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730B75D1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63998BD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4B5D77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F191E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</w:t>
      </w:r>
      <w:r w:rsidR="00273570">
        <w:rPr>
          <w:rFonts w:ascii="Angsana New" w:eastAsia="Angsana New" w:hAnsi="Angsana New" w:cs="Angsana New"/>
          <w:sz w:val="28"/>
          <w:cs/>
        </w:rPr>
        <w:t xml:space="preserve">้อนราคาของหลักทรัพย์ต่างประเทศ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273570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01AA1B2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15A140B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900FBD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8B20ED5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273570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1B0E3B45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ตาม</w:t>
      </w:r>
      <w:r w:rsidR="00900FBD">
        <w:rPr>
          <w:rFonts w:ascii="Angsana New" w:eastAsia="Angsana New" w:hAnsi="Angsana New" w:cs="Angsana New"/>
          <w:spacing w:val="2"/>
          <w:sz w:val="28"/>
          <w:cs/>
        </w:rPr>
        <w:t xml:space="preserve">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900FBD">
        <w:rPr>
          <w:rFonts w:ascii="Angsana New" w:eastAsia="Angsana New" w:hAnsi="Angsana New" w:cs="Angsana New"/>
          <w:sz w:val="28"/>
          <w:cs/>
        </w:rPr>
        <w:t>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900FBD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58A7167F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>
        <w:rPr>
          <w:rFonts w:ascii="Angsana New" w:eastAsia="Angsana New" w:hAnsi="Angsana New" w:cs="Angsana New"/>
          <w:sz w:val="28"/>
        </w:rPr>
        <w:t>1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614518" w:rsidRPr="00614518">
        <w:rPr>
          <w:rFonts w:ascii="Angsana New" w:eastAsia="Angsana New" w:hAnsi="Angsana New" w:cs="Angsana New"/>
          <w:sz w:val="28"/>
          <w:cs/>
        </w:rPr>
        <w:t>)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614518">
        <w:rPr>
          <w:rFonts w:ascii="Angsana New" w:eastAsia="Angsana New" w:hAnsi="Angsana New" w:cs="Angsana New" w:hint="cs"/>
          <w:sz w:val="28"/>
          <w:cs/>
        </w:rPr>
        <w:t>มี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61451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538530CC" w14:textId="6657FAD0" w:rsidR="001F1774" w:rsidRDefault="005469D7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28D1B518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</w:t>
      </w:r>
      <w:r w:rsidR="00900FBD">
        <w:rPr>
          <w:rFonts w:ascii="Angsana New" w:eastAsia="Angsana New" w:hAnsi="Angsana New" w:cs="Angsana New"/>
          <w:sz w:val="28"/>
          <w:cs/>
        </w:rPr>
        <w:t xml:space="preserve">ามดุลพินิจของผู้ออกใบแสดงสิทธิ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41CC9A4B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248E5749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693C493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</w:t>
      </w:r>
      <w:r w:rsidR="00900FBD">
        <w:rPr>
          <w:rFonts w:ascii="Angsana New" w:eastAsia="Angsana New" w:hAnsi="Angsana New" w:cs="Angsana New"/>
          <w:sz w:val="28"/>
          <w:cs/>
        </w:rPr>
        <w:t xml:space="preserve">อ (ก) ได้รับในรูปแบบที่อ่านได้ </w:t>
      </w:r>
      <w:r w:rsidRPr="001B0B40">
        <w:rPr>
          <w:rFonts w:ascii="Angsana New" w:eastAsia="Angsana New" w:hAnsi="Angsana New" w:cs="Angsana New"/>
          <w:sz w:val="28"/>
          <w:cs/>
        </w:rPr>
        <w:t>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04C7101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900FBD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14321BE1" w:rsidR="0086422A" w:rsidRPr="005B1CC3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F40D81" w:rsidRPr="00F40D81">
        <w:rPr>
          <w:rFonts w:ascii="Angsana New" w:eastAsia="Angsana New" w:hAnsi="Angsana New" w:cs="Angsana New"/>
          <w:b/>
          <w:bCs/>
          <w:sz w:val="28"/>
        </w:rPr>
        <w:t>NIKE, INC.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74298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74298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</w:t>
      </w:r>
      <w:r w:rsidR="002F67FB" w:rsidRPr="005B1CC3">
        <w:rPr>
          <w:rFonts w:ascii="Angsana New" w:eastAsia="Angsana New" w:hAnsi="Angsana New" w:cs="Angsana New"/>
          <w:b/>
          <w:bCs/>
          <w:sz w:val="28"/>
          <w:cs/>
        </w:rPr>
        <w:t>มหาชน)</w:t>
      </w:r>
      <w:r w:rsidRPr="005B1CC3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F40D81" w:rsidRPr="005B1CC3">
        <w:rPr>
          <w:rFonts w:ascii="Angsana New" w:eastAsia="Angsana New" w:hAnsi="Angsana New" w:cs="Angsana New"/>
          <w:b/>
          <w:bCs/>
          <w:sz w:val="28"/>
        </w:rPr>
        <w:t>N</w:t>
      </w:r>
      <w:r w:rsidR="00D234DB" w:rsidRPr="005B1CC3">
        <w:rPr>
          <w:rFonts w:ascii="Angsana New" w:eastAsia="Angsana New" w:hAnsi="Angsana New" w:cs="Angsana New"/>
          <w:b/>
          <w:bCs/>
          <w:sz w:val="28"/>
        </w:rPr>
        <w:t>I</w:t>
      </w:r>
      <w:r w:rsidR="00F40D81" w:rsidRPr="005B1CC3">
        <w:rPr>
          <w:rFonts w:ascii="Angsana New" w:eastAsia="Angsana New" w:hAnsi="Angsana New" w:cs="Angsana New"/>
          <w:b/>
          <w:bCs/>
          <w:sz w:val="28"/>
        </w:rPr>
        <w:t>KE</w:t>
      </w:r>
      <w:r w:rsidR="0006058E" w:rsidRPr="005B1CC3">
        <w:rPr>
          <w:rFonts w:ascii="Angsana New" w:eastAsia="Angsana New" w:hAnsi="Angsana New" w:cs="Angsana New"/>
          <w:b/>
          <w:bCs/>
          <w:sz w:val="28"/>
        </w:rPr>
        <w:t>80X</w:t>
      </w:r>
      <w:r w:rsidR="00D35C02" w:rsidRPr="005B1CC3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5B1CC3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5B1CC3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61644633" w:rsidR="0086422A" w:rsidRPr="005B1CC3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B1CC3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B1CC3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5B1CC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5B1CC3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F40D81" w:rsidRPr="005B1CC3">
        <w:rPr>
          <w:rFonts w:ascii="Angsana New" w:eastAsia="Angsana New" w:hAnsi="Angsana New" w:cs="Angsana New"/>
          <w:sz w:val="28"/>
        </w:rPr>
        <w:t>NIKE, INC.</w:t>
      </w:r>
      <w:r w:rsidR="00B57078" w:rsidRPr="005B1CC3">
        <w:rPr>
          <w:rFonts w:ascii="Angsana New" w:eastAsia="Angsana New" w:hAnsi="Angsana New" w:cs="Angsana New"/>
          <w:sz w:val="28"/>
          <w:cs/>
        </w:rPr>
        <w:t xml:space="preserve"> </w:t>
      </w:r>
      <w:r w:rsidRPr="005B1CC3">
        <w:rPr>
          <w:rFonts w:ascii="Angsana New" w:eastAsia="Angsana New" w:hAnsi="Angsana New" w:cs="Angsana New"/>
          <w:sz w:val="28"/>
          <w:cs/>
        </w:rPr>
        <w:t>ซึ่</w:t>
      </w:r>
      <w:r w:rsidR="00AF4F85" w:rsidRPr="005B1CC3">
        <w:rPr>
          <w:rFonts w:ascii="Angsana New" w:eastAsia="Angsana New" w:hAnsi="Angsana New" w:cs="Angsana New"/>
          <w:sz w:val="28"/>
          <w:cs/>
        </w:rPr>
        <w:t>ง</w:t>
      </w:r>
      <w:r w:rsidRPr="005B1CC3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5B1CC3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2958D0" w:rsidRPr="005B1CC3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5B1CC3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2958D0" w:rsidRPr="005B1CC3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5B1CC3">
        <w:rPr>
          <w:rFonts w:ascii="Angsana New" w:hAnsi="Angsana New" w:cs="Angsana New"/>
          <w:b/>
          <w:bCs/>
          <w:noProof/>
          <w:sz w:val="28"/>
        </w:rPr>
        <w:t>)</w:t>
      </w:r>
      <w:r w:rsidRPr="005B1CC3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5B1CC3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5B1CC3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5B1CC3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5B1CC3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5B1CC3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5B1CC3">
        <w:rPr>
          <w:rFonts w:ascii="Angsana New" w:eastAsia="Angsana New" w:hAnsi="Angsana New" w:cs="Angsana New"/>
          <w:sz w:val="28"/>
          <w:cs/>
        </w:rPr>
        <w:t xml:space="preserve"> </w:t>
      </w:r>
      <w:r w:rsidRPr="005B1CC3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5B1CC3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5B1CC3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5B1CC3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5B1CC3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5B1CC3">
        <w:rPr>
          <w:rFonts w:ascii="Angsana New" w:eastAsia="Angsana New" w:hAnsi="Angsana New" w:cs="Angsana New"/>
          <w:sz w:val="28"/>
          <w:cs/>
        </w:rPr>
        <w:t xml:space="preserve"> </w:t>
      </w:r>
      <w:r w:rsidRPr="005B1CC3">
        <w:rPr>
          <w:rFonts w:ascii="Angsana New" w:eastAsia="Angsana New" w:hAnsi="Angsana New" w:cs="Angsana New"/>
          <w:sz w:val="28"/>
          <w:cs/>
        </w:rPr>
        <w:t>ๆ</w:t>
      </w:r>
      <w:r w:rsidR="00A008C2" w:rsidRPr="005B1CC3">
        <w:rPr>
          <w:rFonts w:ascii="Angsana New" w:eastAsia="Angsana New" w:hAnsi="Angsana New" w:cs="Angsana New"/>
          <w:sz w:val="28"/>
          <w:cs/>
        </w:rPr>
        <w:t xml:space="preserve"> ที่ธนาคารกรุงไทย จำกัด (มหาชน)</w:t>
      </w:r>
      <w:r w:rsidRPr="005B1CC3">
        <w:rPr>
          <w:rFonts w:ascii="Angsana New" w:eastAsia="Angsana New" w:hAnsi="Angsana New" w:cs="Angsana New"/>
          <w:sz w:val="28"/>
          <w:cs/>
        </w:rPr>
        <w:t xml:space="preserve">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5B1CC3">
        <w:rPr>
          <w:rFonts w:ascii="Angsana New" w:eastAsia="Angsana New" w:hAnsi="Angsana New" w:cs="Angsana New"/>
          <w:sz w:val="28"/>
          <w:cs/>
        </w:rPr>
        <w:t xml:space="preserve"> </w:t>
      </w:r>
      <w:r w:rsidRPr="005B1CC3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5B1CC3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5B1CC3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B1CC3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5B1CC3">
        <w:rPr>
          <w:rFonts w:ascii="Angsana New" w:eastAsia="Angsana New" w:hAnsi="Angsana New" w:cs="Angsana New"/>
          <w:b/>
          <w:sz w:val="28"/>
        </w:rPr>
        <w:t xml:space="preserve">1  </w:t>
      </w:r>
      <w:r w:rsidRPr="005B1CC3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5B1CC3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B1CC3">
        <w:rPr>
          <w:rFonts w:ascii="Angsana New" w:eastAsia="Angsana New" w:hAnsi="Angsana New" w:cs="Angsana New"/>
          <w:sz w:val="28"/>
        </w:rPr>
        <w:tab/>
      </w:r>
      <w:r w:rsidRPr="005B1CC3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5B1CC3">
        <w:rPr>
          <w:rFonts w:ascii="Angsana New" w:eastAsia="Angsana New" w:hAnsi="Angsana New" w:cs="Angsana New"/>
          <w:sz w:val="28"/>
        </w:rPr>
        <w:tab/>
      </w:r>
      <w:r w:rsidRPr="005B1CC3">
        <w:rPr>
          <w:rFonts w:ascii="Angsana New" w:eastAsia="Angsana New" w:hAnsi="Angsana New" w:cs="Angsana New"/>
          <w:sz w:val="28"/>
        </w:rPr>
        <w:tab/>
      </w:r>
      <w:r w:rsidRPr="005B1CC3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29A4771E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5B1CC3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5B1CC3">
        <w:rPr>
          <w:rFonts w:ascii="Angsana New" w:eastAsia="Angsana New" w:hAnsi="Angsana New" w:cs="Angsana New"/>
          <w:sz w:val="28"/>
        </w:rPr>
        <w:tab/>
      </w:r>
      <w:r w:rsidRPr="005B1CC3">
        <w:rPr>
          <w:rFonts w:ascii="Angsana New" w:eastAsia="Angsana New" w:hAnsi="Angsana New" w:cs="Angsana New"/>
          <w:sz w:val="28"/>
          <w:cs/>
        </w:rPr>
        <w:t>:     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B1CC3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5B1CC3">
        <w:rPr>
          <w:rFonts w:ascii="Angsana New" w:eastAsia="Angsana New" w:hAnsi="Angsana New" w:cs="Angsana New"/>
          <w:sz w:val="28"/>
        </w:rPr>
        <w:t xml:space="preserve"> </w:t>
      </w:r>
      <w:r w:rsidR="005A3597" w:rsidRPr="005B1CC3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5B1CC3">
        <w:rPr>
          <w:rFonts w:ascii="Angsana New" w:eastAsia="Angsana New" w:hAnsi="Angsana New" w:cs="Angsana New"/>
          <w:sz w:val="28"/>
        </w:rPr>
        <w:t xml:space="preserve"> </w:t>
      </w:r>
      <w:r w:rsidR="00F40D81" w:rsidRPr="005B1CC3">
        <w:rPr>
          <w:rFonts w:ascii="Angsana New" w:eastAsia="Angsana New" w:hAnsi="Angsana New" w:cs="Angsana New"/>
          <w:sz w:val="28"/>
        </w:rPr>
        <w:t>NIKE, INC.</w:t>
      </w:r>
      <w:r w:rsidR="00B57078" w:rsidRPr="005B1CC3">
        <w:rPr>
          <w:rFonts w:ascii="Angsana New" w:eastAsia="Angsana New" w:hAnsi="Angsana New" w:cs="Angsana New"/>
          <w:sz w:val="28"/>
          <w:cs/>
        </w:rPr>
        <w:t xml:space="preserve"> </w:t>
      </w:r>
      <w:r w:rsidRPr="005B1CC3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5B1CC3">
        <w:rPr>
          <w:rFonts w:ascii="Angsana New" w:eastAsia="Angsana New" w:hAnsi="Angsana New" w:cs="Angsana New"/>
          <w:sz w:val="28"/>
          <w:cs/>
        </w:rPr>
        <w:t xml:space="preserve"> </w:t>
      </w:r>
      <w:r w:rsidRPr="005B1CC3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F40D81" w:rsidRPr="005B1CC3">
        <w:rPr>
          <w:rFonts w:ascii="Angsana New" w:eastAsia="Angsana New" w:hAnsi="Angsana New" w:cs="Angsana New"/>
          <w:sz w:val="28"/>
        </w:rPr>
        <w:t>N</w:t>
      </w:r>
      <w:r w:rsidR="00D234DB" w:rsidRPr="005B1CC3">
        <w:rPr>
          <w:rFonts w:ascii="Angsana New" w:eastAsia="Angsana New" w:hAnsi="Angsana New" w:cs="Angsana New"/>
          <w:sz w:val="28"/>
        </w:rPr>
        <w:t>I</w:t>
      </w:r>
      <w:r w:rsidR="00F40D81" w:rsidRPr="005B1CC3">
        <w:rPr>
          <w:rFonts w:ascii="Angsana New" w:eastAsia="Angsana New" w:hAnsi="Angsana New" w:cs="Angsana New"/>
          <w:sz w:val="28"/>
        </w:rPr>
        <w:t>KE</w:t>
      </w:r>
      <w:r w:rsidR="0006058E" w:rsidRPr="005B1CC3">
        <w:rPr>
          <w:rFonts w:ascii="Angsana New" w:eastAsia="Angsana New" w:hAnsi="Angsana New" w:cs="Angsana New"/>
          <w:sz w:val="28"/>
        </w:rPr>
        <w:t>80X</w:t>
      </w:r>
      <w:r w:rsidR="00D35C02" w:rsidRPr="00914DF4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7EAEF2EA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9C6FD3" w:rsidRPr="00914DF4">
        <w:rPr>
          <w:rFonts w:ascii="Angsana New" w:eastAsia="Angsana New" w:hAnsi="Angsana New" w:cs="Angsana New"/>
          <w:sz w:val="28"/>
        </w:rPr>
        <w:t>[</w:t>
      </w:r>
      <w:r w:rsidR="009C6FD3" w:rsidRPr="00914DF4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914DF4">
        <w:rPr>
          <w:rFonts w:ascii="Angsana New" w:eastAsia="Angsana New" w:hAnsi="Angsana New" w:cs="Angsana New"/>
          <w:sz w:val="28"/>
        </w:rPr>
        <w:t>]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04769A5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2E1495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4E51DF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6A320EF3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F40D81">
        <w:rPr>
          <w:rFonts w:ascii="Angsana New" w:eastAsia="Angsana New" w:hAnsi="Angsana New" w:cs="Angsana New"/>
          <w:sz w:val="28"/>
        </w:rPr>
        <w:t>2</w:t>
      </w:r>
      <w:r w:rsidR="007B7E24">
        <w:rPr>
          <w:rFonts w:ascii="Angsana New" w:eastAsia="Angsana New" w:hAnsi="Angsana New" w:cs="Angsana New"/>
          <w:sz w:val="28"/>
        </w:rPr>
        <w:t>,000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883739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05F01CB4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52172C">
        <w:rPr>
          <w:rFonts w:ascii="Angsana New" w:eastAsia="Angsana New" w:hAnsi="Angsana New" w:cs="Angsana New"/>
          <w:sz w:val="28"/>
        </w:rPr>
        <w:t>[</w:t>
      </w:r>
      <w:r w:rsidR="000B6D05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52172C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1D748055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F40D81" w:rsidRPr="00F40D81">
        <w:rPr>
          <w:rFonts w:ascii="Angsana New" w:eastAsia="Angsana New" w:hAnsi="Angsana New" w:cs="Angsana New"/>
          <w:sz w:val="28"/>
        </w:rPr>
        <w:t>NIKE, INC.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6D7A74">
        <w:rPr>
          <w:rFonts w:ascii="Angsana New" w:hAnsi="Angsana New" w:cs="Angsana New" w:hint="cs"/>
          <w:noProof/>
          <w:sz w:val="28"/>
          <w:cs/>
        </w:rPr>
        <w:t>นิวยอร์ก</w:t>
      </w:r>
      <w:r w:rsidR="009A0997" w:rsidRPr="004155DA">
        <w:rPr>
          <w:rFonts w:ascii="Angsana New" w:hAnsi="Angsana New" w:cs="Angsana New"/>
          <w:noProof/>
          <w:sz w:val="28"/>
          <w:cs/>
        </w:rPr>
        <w:t xml:space="preserve"> (</w:t>
      </w:r>
      <w:r w:rsidR="006D7A74">
        <w:rPr>
          <w:rFonts w:ascii="Angsana New" w:hAnsi="Angsana New" w:cs="Angsana New"/>
          <w:noProof/>
          <w:sz w:val="28"/>
        </w:rPr>
        <w:t>NYSE</w:t>
      </w:r>
      <w:r w:rsidR="009A0997" w:rsidRPr="004155DA">
        <w:rPr>
          <w:rFonts w:ascii="Angsana New" w:hAnsi="Angsana New" w:cs="Angsana New"/>
          <w:noProof/>
          <w:sz w:val="28"/>
        </w:rPr>
        <w:t>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3472F1E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827BAC" w:rsidRPr="000A36A5">
        <w:rPr>
          <w:rFonts w:ascii="Angsana New" w:eastAsia="Angsana New" w:hAnsi="Angsana New" w:cs="Angsana New"/>
          <w:sz w:val="28"/>
        </w:rPr>
        <w:t>Maybank Securities Pte. Ltd.</w:t>
      </w:r>
      <w:r w:rsidR="00827BAC" w:rsidRPr="005C125E" w:rsidDel="00827BAC">
        <w:rPr>
          <w:rFonts w:ascii="Angsana New" w:eastAsia="Angsana New" w:hAnsi="Angsana New" w:cs="Angsana New"/>
          <w:sz w:val="28"/>
        </w:rPr>
        <w:t xml:space="preserve"> 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5469D7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66CE526E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="00617805">
        <w:rPr>
          <w:rFonts w:ascii="Angsana New" w:eastAsia="Times New Roman" w:hAnsi="Angsana New"/>
          <w:sz w:val="28"/>
          <w:szCs w:val="28"/>
        </w:rPr>
        <w:t>0.4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5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5469D7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BDB42D2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</w:t>
      </w:r>
      <w:r w:rsidR="00900FBD">
        <w:rPr>
          <w:rFonts w:ascii="Angsana New" w:eastAsia="Angsana New" w:hAnsi="Angsana New" w:cs="Angsana New"/>
          <w:sz w:val="28"/>
          <w:cs/>
        </w:rPr>
        <w:t>ิสามารถเข้าถึงได้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5469D7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E7DCDD5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6F4388B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900FBD">
        <w:rPr>
          <w:rFonts w:ascii="Angsana New" w:eastAsia="Tahoma" w:hAnsi="Angsana New" w:cs="Angsana New"/>
          <w:sz w:val="28"/>
          <w:cs/>
        </w:rPr>
        <w:t xml:space="preserve">กำหนด </w:t>
      </w:r>
      <w:r w:rsidRPr="001B0B40">
        <w:rPr>
          <w:rFonts w:ascii="Angsana New" w:eastAsia="Tahoma" w:hAnsi="Angsana New" w:cs="Angsana New"/>
          <w:sz w:val="28"/>
          <w:cs/>
        </w:rPr>
        <w:t xml:space="preserve">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5469D7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1BD6BFD5" w:rsidR="00814609" w:rsidRPr="001B0B40" w:rsidRDefault="005469D7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5469D7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5469D7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5469D7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5D330FF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6089F070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ใบแสดงสิทธิในตลาดหลักทรัพย์ไทย </w:t>
      </w:r>
      <w:r w:rsidR="00842409" w:rsidRPr="008A34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(ซึ่งปัจจุบันคือ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น.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21070E56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ผู้ดูแลสภาพคล่องจะกำหนดจำนวนเสนอซื้อและเสนอขายขั้นต่ำ</w:t>
      </w:r>
      <w:r w:rsidRPr="005B1CC3">
        <w:rPr>
          <w:rFonts w:ascii="Angsana New" w:eastAsia="Angsana New" w:hAnsi="Angsana New" w:cs="Angsana New"/>
          <w:sz w:val="28"/>
          <w:cs/>
        </w:rPr>
        <w:t xml:space="preserve">เท่ากับ </w:t>
      </w:r>
      <w:r w:rsidR="00E22ACE" w:rsidRPr="005B1CC3">
        <w:rPr>
          <w:rFonts w:ascii="Angsana New" w:eastAsia="Angsana New" w:hAnsi="Angsana New" w:cs="Angsana New"/>
          <w:sz w:val="28"/>
        </w:rPr>
        <w:t>2</w:t>
      </w:r>
      <w:r w:rsidR="00EC6763" w:rsidRPr="005B1CC3">
        <w:rPr>
          <w:rFonts w:ascii="Angsana New" w:eastAsia="Angsana New" w:hAnsi="Angsana New" w:cs="Angsana New"/>
          <w:sz w:val="28"/>
        </w:rPr>
        <w:t>0</w:t>
      </w:r>
      <w:r w:rsidR="007B7E24" w:rsidRPr="005B1CC3">
        <w:rPr>
          <w:rFonts w:ascii="Angsana New" w:eastAsia="Angsana New" w:hAnsi="Angsana New" w:cs="Angsana New"/>
          <w:sz w:val="28"/>
        </w:rPr>
        <w:t>,000</w:t>
      </w:r>
      <w:r w:rsidR="003B3E08" w:rsidRPr="005B1CC3">
        <w:rPr>
          <w:rFonts w:ascii="Angsana New" w:eastAsia="Angsana New" w:hAnsi="Angsana New" w:cs="Angsana New"/>
          <w:sz w:val="28"/>
          <w:cs/>
        </w:rPr>
        <w:t xml:space="preserve"> </w:t>
      </w:r>
      <w:r w:rsidRPr="005B1CC3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5B1CC3">
        <w:rPr>
          <w:rFonts w:ascii="Angsana New" w:eastAsia="Angsana New" w:hAnsi="Angsana New" w:cs="Angsana New"/>
          <w:sz w:val="28"/>
          <w:cs/>
        </w:rPr>
        <w:t>ต่อ</w:t>
      </w:r>
      <w:r w:rsidR="004C5F37" w:rsidRPr="004155DA">
        <w:rPr>
          <w:rFonts w:ascii="Angsana New" w:eastAsia="Angsana New" w:hAnsi="Angsana New" w:cs="Angsana New"/>
          <w:sz w:val="28"/>
          <w:cs/>
        </w:rPr>
        <w:t>ข้าง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2412DDBD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34E3CBB9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</w:t>
      </w:r>
      <w:bookmarkStart w:id="7" w:name="_GoBack"/>
      <w:bookmarkEnd w:id="7"/>
      <w:r w:rsidRPr="004155DA">
        <w:rPr>
          <w:rFonts w:ascii="Angsana New" w:eastAsia="Angsana New" w:hAnsi="Angsana New" w:cs="Angsana New"/>
          <w:sz w:val="28"/>
          <w:cs/>
        </w:rPr>
        <w:t>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237D8B65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5AA0F1F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FB5E" w14:textId="77777777" w:rsidR="005469D7" w:rsidRDefault="005469D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28E4784" w14:textId="77777777" w:rsidR="005469D7" w:rsidRDefault="005469D7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11A52996" w14:textId="77777777" w:rsidR="005469D7" w:rsidRDefault="005469D7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1DFE2E0F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5B1CC3">
      <w:rPr>
        <w:rFonts w:ascii="Angsana New" w:eastAsia="Angsana New" w:hAnsi="Angsana New" w:cs="Angsana New"/>
        <w:b/>
        <w:noProof/>
        <w:color w:val="000000"/>
        <w:sz w:val="28"/>
      </w:rPr>
      <w:t>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5B1CC3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E16E" w14:textId="77777777" w:rsidR="005469D7" w:rsidRDefault="005469D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0D15255" w14:textId="77777777" w:rsidR="005469D7" w:rsidRDefault="005469D7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0E642485" w14:textId="77777777" w:rsidR="005469D7" w:rsidRDefault="005469D7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5D1D"/>
    <w:rsid w:val="000304E6"/>
    <w:rsid w:val="00035CD3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058E"/>
    <w:rsid w:val="00061131"/>
    <w:rsid w:val="00071BDE"/>
    <w:rsid w:val="00075937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0EE"/>
    <w:rsid w:val="000B047D"/>
    <w:rsid w:val="000B39DD"/>
    <w:rsid w:val="000B6D05"/>
    <w:rsid w:val="000C281D"/>
    <w:rsid w:val="000C61C1"/>
    <w:rsid w:val="000D1535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2FA1"/>
    <w:rsid w:val="00113BBD"/>
    <w:rsid w:val="00113FDD"/>
    <w:rsid w:val="00114721"/>
    <w:rsid w:val="00116C39"/>
    <w:rsid w:val="00124F87"/>
    <w:rsid w:val="001258E6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16F8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7279"/>
    <w:rsid w:val="0021060B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51EC"/>
    <w:rsid w:val="002721CF"/>
    <w:rsid w:val="00273570"/>
    <w:rsid w:val="00273AE9"/>
    <w:rsid w:val="002805BC"/>
    <w:rsid w:val="002828E9"/>
    <w:rsid w:val="00284C4E"/>
    <w:rsid w:val="0029449A"/>
    <w:rsid w:val="002958D0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C36"/>
    <w:rsid w:val="002C54B9"/>
    <w:rsid w:val="002D0439"/>
    <w:rsid w:val="002D1C56"/>
    <w:rsid w:val="002E1495"/>
    <w:rsid w:val="002E23EA"/>
    <w:rsid w:val="002E2A0A"/>
    <w:rsid w:val="002E357E"/>
    <w:rsid w:val="002F280B"/>
    <w:rsid w:val="002F67E1"/>
    <w:rsid w:val="002F67FB"/>
    <w:rsid w:val="003050EC"/>
    <w:rsid w:val="00312B1C"/>
    <w:rsid w:val="00313E37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5519A"/>
    <w:rsid w:val="00362CC6"/>
    <w:rsid w:val="00364173"/>
    <w:rsid w:val="00370AF0"/>
    <w:rsid w:val="003753C6"/>
    <w:rsid w:val="00383612"/>
    <w:rsid w:val="00383F94"/>
    <w:rsid w:val="003849CC"/>
    <w:rsid w:val="00395280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42133"/>
    <w:rsid w:val="00447E70"/>
    <w:rsid w:val="004517ED"/>
    <w:rsid w:val="0045535E"/>
    <w:rsid w:val="00455E0E"/>
    <w:rsid w:val="00456BEB"/>
    <w:rsid w:val="00460DB2"/>
    <w:rsid w:val="00461423"/>
    <w:rsid w:val="00462B71"/>
    <w:rsid w:val="004663F8"/>
    <w:rsid w:val="00470038"/>
    <w:rsid w:val="0047087C"/>
    <w:rsid w:val="00474345"/>
    <w:rsid w:val="004917E3"/>
    <w:rsid w:val="0049465F"/>
    <w:rsid w:val="00494A19"/>
    <w:rsid w:val="00496B0B"/>
    <w:rsid w:val="004A10EF"/>
    <w:rsid w:val="004A1225"/>
    <w:rsid w:val="004A1298"/>
    <w:rsid w:val="004A1832"/>
    <w:rsid w:val="004A3F57"/>
    <w:rsid w:val="004A3F78"/>
    <w:rsid w:val="004A4703"/>
    <w:rsid w:val="004A5309"/>
    <w:rsid w:val="004A78A2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E51DF"/>
    <w:rsid w:val="004F0468"/>
    <w:rsid w:val="004F35DA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469D7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91EC5"/>
    <w:rsid w:val="005A2C8E"/>
    <w:rsid w:val="005A3597"/>
    <w:rsid w:val="005A7F87"/>
    <w:rsid w:val="005B1344"/>
    <w:rsid w:val="005B1CC3"/>
    <w:rsid w:val="005B2708"/>
    <w:rsid w:val="005B6BD3"/>
    <w:rsid w:val="005C125E"/>
    <w:rsid w:val="005D39F9"/>
    <w:rsid w:val="005D5B32"/>
    <w:rsid w:val="005D6957"/>
    <w:rsid w:val="005E0D89"/>
    <w:rsid w:val="005E7E6D"/>
    <w:rsid w:val="005F0124"/>
    <w:rsid w:val="005F56BF"/>
    <w:rsid w:val="005F6278"/>
    <w:rsid w:val="00602E67"/>
    <w:rsid w:val="0060740A"/>
    <w:rsid w:val="006103E4"/>
    <w:rsid w:val="00614518"/>
    <w:rsid w:val="00616B11"/>
    <w:rsid w:val="00617805"/>
    <w:rsid w:val="00621E23"/>
    <w:rsid w:val="0062552F"/>
    <w:rsid w:val="006259BF"/>
    <w:rsid w:val="00626651"/>
    <w:rsid w:val="00626B2B"/>
    <w:rsid w:val="0063064B"/>
    <w:rsid w:val="00630E0A"/>
    <w:rsid w:val="00632839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1421"/>
    <w:rsid w:val="00662E35"/>
    <w:rsid w:val="00663BCE"/>
    <w:rsid w:val="00673330"/>
    <w:rsid w:val="00674298"/>
    <w:rsid w:val="00674A85"/>
    <w:rsid w:val="006754E7"/>
    <w:rsid w:val="00676618"/>
    <w:rsid w:val="00676F36"/>
    <w:rsid w:val="00680F37"/>
    <w:rsid w:val="0069012C"/>
    <w:rsid w:val="00693E30"/>
    <w:rsid w:val="006952AE"/>
    <w:rsid w:val="006A08BB"/>
    <w:rsid w:val="006A7E5F"/>
    <w:rsid w:val="006B521D"/>
    <w:rsid w:val="006B757D"/>
    <w:rsid w:val="006B76C9"/>
    <w:rsid w:val="006C7D6E"/>
    <w:rsid w:val="006D1C69"/>
    <w:rsid w:val="006D2800"/>
    <w:rsid w:val="006D5218"/>
    <w:rsid w:val="006D73F4"/>
    <w:rsid w:val="006D7A74"/>
    <w:rsid w:val="006D7F7A"/>
    <w:rsid w:val="006E049D"/>
    <w:rsid w:val="006E3657"/>
    <w:rsid w:val="006F0E8C"/>
    <w:rsid w:val="006F2C0B"/>
    <w:rsid w:val="00704869"/>
    <w:rsid w:val="00707D5F"/>
    <w:rsid w:val="007114CF"/>
    <w:rsid w:val="00713CDA"/>
    <w:rsid w:val="007162BB"/>
    <w:rsid w:val="00722916"/>
    <w:rsid w:val="00725261"/>
    <w:rsid w:val="00725850"/>
    <w:rsid w:val="007275DB"/>
    <w:rsid w:val="007349FD"/>
    <w:rsid w:val="00737EF0"/>
    <w:rsid w:val="00743D17"/>
    <w:rsid w:val="00745711"/>
    <w:rsid w:val="00752073"/>
    <w:rsid w:val="007520F2"/>
    <w:rsid w:val="00754B39"/>
    <w:rsid w:val="007550D3"/>
    <w:rsid w:val="007614DE"/>
    <w:rsid w:val="00765468"/>
    <w:rsid w:val="007738C7"/>
    <w:rsid w:val="00776EA3"/>
    <w:rsid w:val="0077721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B7E24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27BAC"/>
    <w:rsid w:val="00830374"/>
    <w:rsid w:val="00836967"/>
    <w:rsid w:val="00840E09"/>
    <w:rsid w:val="00842409"/>
    <w:rsid w:val="0085192C"/>
    <w:rsid w:val="00853771"/>
    <w:rsid w:val="00863A07"/>
    <w:rsid w:val="00863BF2"/>
    <w:rsid w:val="00863E34"/>
    <w:rsid w:val="0086422A"/>
    <w:rsid w:val="00876B9F"/>
    <w:rsid w:val="008828B2"/>
    <w:rsid w:val="00883739"/>
    <w:rsid w:val="00887570"/>
    <w:rsid w:val="00887C18"/>
    <w:rsid w:val="008A2668"/>
    <w:rsid w:val="008A34A2"/>
    <w:rsid w:val="008A4657"/>
    <w:rsid w:val="008A5764"/>
    <w:rsid w:val="008B0BCE"/>
    <w:rsid w:val="008B184D"/>
    <w:rsid w:val="008D0E8E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6F03"/>
    <w:rsid w:val="00952CD4"/>
    <w:rsid w:val="00952E01"/>
    <w:rsid w:val="009536EB"/>
    <w:rsid w:val="0095653C"/>
    <w:rsid w:val="00960674"/>
    <w:rsid w:val="00961DF0"/>
    <w:rsid w:val="00961F82"/>
    <w:rsid w:val="00975EEF"/>
    <w:rsid w:val="00991748"/>
    <w:rsid w:val="009A0997"/>
    <w:rsid w:val="009A31BE"/>
    <w:rsid w:val="009B0093"/>
    <w:rsid w:val="009C12A5"/>
    <w:rsid w:val="009C2D77"/>
    <w:rsid w:val="009C6FD3"/>
    <w:rsid w:val="009D03F4"/>
    <w:rsid w:val="009D51EA"/>
    <w:rsid w:val="009E61D1"/>
    <w:rsid w:val="009E7174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3681E"/>
    <w:rsid w:val="00A43AB9"/>
    <w:rsid w:val="00A44517"/>
    <w:rsid w:val="00A456A7"/>
    <w:rsid w:val="00A54F59"/>
    <w:rsid w:val="00A56BF2"/>
    <w:rsid w:val="00A71588"/>
    <w:rsid w:val="00A81172"/>
    <w:rsid w:val="00A817AE"/>
    <w:rsid w:val="00A84E08"/>
    <w:rsid w:val="00A872E1"/>
    <w:rsid w:val="00A90D0B"/>
    <w:rsid w:val="00A94864"/>
    <w:rsid w:val="00A95DAC"/>
    <w:rsid w:val="00AA2D7A"/>
    <w:rsid w:val="00AB1D1C"/>
    <w:rsid w:val="00AB59EE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9F9"/>
    <w:rsid w:val="00B42CB3"/>
    <w:rsid w:val="00B454AD"/>
    <w:rsid w:val="00B4614A"/>
    <w:rsid w:val="00B46AA6"/>
    <w:rsid w:val="00B52A11"/>
    <w:rsid w:val="00B57078"/>
    <w:rsid w:val="00B5735E"/>
    <w:rsid w:val="00B57369"/>
    <w:rsid w:val="00B57508"/>
    <w:rsid w:val="00B638D8"/>
    <w:rsid w:val="00B640B4"/>
    <w:rsid w:val="00B73C36"/>
    <w:rsid w:val="00B77051"/>
    <w:rsid w:val="00B779EF"/>
    <w:rsid w:val="00B83354"/>
    <w:rsid w:val="00B85F46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053B6"/>
    <w:rsid w:val="00C26CD8"/>
    <w:rsid w:val="00C30028"/>
    <w:rsid w:val="00C416F4"/>
    <w:rsid w:val="00C42F4B"/>
    <w:rsid w:val="00C45B6B"/>
    <w:rsid w:val="00C536EF"/>
    <w:rsid w:val="00C566AD"/>
    <w:rsid w:val="00C61B10"/>
    <w:rsid w:val="00C65DEF"/>
    <w:rsid w:val="00C65EF0"/>
    <w:rsid w:val="00C66111"/>
    <w:rsid w:val="00C75FE7"/>
    <w:rsid w:val="00C77833"/>
    <w:rsid w:val="00C82B87"/>
    <w:rsid w:val="00C92C66"/>
    <w:rsid w:val="00C95833"/>
    <w:rsid w:val="00CA7D5D"/>
    <w:rsid w:val="00CB47C8"/>
    <w:rsid w:val="00CB5BD0"/>
    <w:rsid w:val="00CC7144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4DB"/>
    <w:rsid w:val="00D236EC"/>
    <w:rsid w:val="00D24A93"/>
    <w:rsid w:val="00D256B9"/>
    <w:rsid w:val="00D25A1C"/>
    <w:rsid w:val="00D34F54"/>
    <w:rsid w:val="00D35C02"/>
    <w:rsid w:val="00D3602D"/>
    <w:rsid w:val="00D4455F"/>
    <w:rsid w:val="00D47013"/>
    <w:rsid w:val="00D520D9"/>
    <w:rsid w:val="00D546F7"/>
    <w:rsid w:val="00D62708"/>
    <w:rsid w:val="00D64A1F"/>
    <w:rsid w:val="00D6520C"/>
    <w:rsid w:val="00D6527E"/>
    <w:rsid w:val="00D662C6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1BB"/>
    <w:rsid w:val="00DE5897"/>
    <w:rsid w:val="00DE5C56"/>
    <w:rsid w:val="00DF0105"/>
    <w:rsid w:val="00DF127B"/>
    <w:rsid w:val="00E0332A"/>
    <w:rsid w:val="00E12D14"/>
    <w:rsid w:val="00E13318"/>
    <w:rsid w:val="00E1528D"/>
    <w:rsid w:val="00E22ACE"/>
    <w:rsid w:val="00E24A4C"/>
    <w:rsid w:val="00E27128"/>
    <w:rsid w:val="00E35AD0"/>
    <w:rsid w:val="00E370AB"/>
    <w:rsid w:val="00E406FA"/>
    <w:rsid w:val="00E43050"/>
    <w:rsid w:val="00E4654E"/>
    <w:rsid w:val="00E54B30"/>
    <w:rsid w:val="00E612DD"/>
    <w:rsid w:val="00E6266D"/>
    <w:rsid w:val="00E64E37"/>
    <w:rsid w:val="00E66256"/>
    <w:rsid w:val="00E66CA2"/>
    <w:rsid w:val="00E7041C"/>
    <w:rsid w:val="00E74AF4"/>
    <w:rsid w:val="00E76990"/>
    <w:rsid w:val="00E831E5"/>
    <w:rsid w:val="00E83A39"/>
    <w:rsid w:val="00E92580"/>
    <w:rsid w:val="00EA68D0"/>
    <w:rsid w:val="00EC4549"/>
    <w:rsid w:val="00EC6763"/>
    <w:rsid w:val="00EC69A8"/>
    <w:rsid w:val="00ED4253"/>
    <w:rsid w:val="00EE16D2"/>
    <w:rsid w:val="00EE17F0"/>
    <w:rsid w:val="00EE30FA"/>
    <w:rsid w:val="00EE6CCC"/>
    <w:rsid w:val="00EF1093"/>
    <w:rsid w:val="00EF6A4C"/>
    <w:rsid w:val="00EF7ED4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1F75"/>
    <w:rsid w:val="00F22FBA"/>
    <w:rsid w:val="00F379FD"/>
    <w:rsid w:val="00F40D81"/>
    <w:rsid w:val="00F43888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B74616-E05E-4DBC-8C24-A2AFDC56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10496</Words>
  <Characters>59832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8</cp:revision>
  <cp:lastPrinted>2023-05-10T06:45:00Z</cp:lastPrinted>
  <dcterms:created xsi:type="dcterms:W3CDTF">2024-05-15T15:25:00Z</dcterms:created>
  <dcterms:modified xsi:type="dcterms:W3CDTF">2024-06-05T10:19:00Z</dcterms:modified>
</cp:coreProperties>
</file>