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39C73A7C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54F82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470BFB9C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DAF6EBE" w14:textId="77777777" w:rsidR="00704869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</w:p>
    <w:p w14:paraId="3104D46B" w14:textId="77777777" w:rsidR="00010356" w:rsidRDefault="0001035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4A4F93BA" w14:textId="77777777" w:rsidR="00010356" w:rsidRDefault="0001035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83" w14:textId="01197FF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</w:p>
    <w:p w14:paraId="00000085" w14:textId="1D730DFA" w:rsidR="00AF080D" w:rsidRPr="00AC7258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</w:t>
      </w:r>
      <w:r w:rsidR="009536EB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863E34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</w:t>
      </w:r>
      <w:r w:rsidR="009536EB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ค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ผู้ออกใบแสดงสิทธิไม่สามารถเสนอขายใบแสดงสิทธิ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45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0000008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AC7258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AC7258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0000087" w14:textId="2A07BD35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 ให้แก่ผู้จองซื้อภายใน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</w:p>
    <w:p w14:paraId="00000088" w14:textId="6C99029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>7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1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3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จนถึงวันที่ผู้จองซื้อได้รับเงินค่าจองซื้อคืนครบทั้งจำนวน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4A183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616486A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000000A4" w14:textId="4F57D668" w:rsidR="00AF080D" w:rsidRPr="00704869" w:rsidRDefault="00345F9A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52F8251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</w:t>
      </w:r>
      <w:r w:rsidRPr="00863E34">
        <w:rPr>
          <w:rFonts w:asciiTheme="majorBidi" w:eastAsia="Angsana New" w:hAnsiTheme="majorBidi" w:cstheme="majorBidi"/>
          <w:sz w:val="28"/>
          <w:cs/>
        </w:rPr>
        <w:t>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ภายในระยะเวลาที่กำหนดไว้ในแบบ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>และในกรณีที่ผู้ออกใบแสดงสิทธิ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ไม่สาม</w:t>
      </w:r>
      <w:r w:rsidR="004A5309" w:rsidRPr="00863E34">
        <w:rPr>
          <w:rFonts w:asciiTheme="majorBidi" w:eastAsia="Angsana New" w:hAnsiTheme="majorBidi" w:cstheme="majorBidi" w:hint="cs"/>
          <w:spacing w:val="2"/>
          <w:sz w:val="28"/>
          <w:cs/>
        </w:rPr>
        <w:t>า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รถคืนเงินค่าจองซื้อได้ภายในระยะเวลาดังกล่าว ผู้ออกใบแสดงสิทธิจะชดเชย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863E34">
        <w:rPr>
          <w:rFonts w:asciiTheme="majorBidi" w:eastAsia="Angsana New" w:hAnsiTheme="majorBidi" w:cstheme="majorBidi"/>
          <w:spacing w:val="2"/>
          <w:sz w:val="28"/>
        </w:rPr>
        <w:t>7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="002E23EA" w:rsidRPr="00863E34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863E34">
        <w:rPr>
          <w:rFonts w:asciiTheme="majorBidi" w:eastAsia="Angsana New" w:hAnsiTheme="majorBidi" w:cstheme="majorBidi"/>
          <w:sz w:val="28"/>
          <w:cs/>
        </w:rPr>
        <w:t>ผู้จองซื้อ</w:t>
      </w:r>
      <w:r w:rsidR="002E23EA" w:rsidRPr="00863E34">
        <w:rPr>
          <w:rFonts w:asciiTheme="majorBidi" w:eastAsia="Angsana New" w:hAnsiTheme="majorBidi" w:cstheme="majorBidi"/>
          <w:sz w:val="28"/>
          <w:cs/>
        </w:rPr>
        <w:t>ได้รับคืนเงินค่าจองซื้อในส่วนดังกล่าว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A92A4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3A13D9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6B6D209A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BEB1189" w14:textId="2A5F70D3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A7811B7" w14:textId="77777777" w:rsidR="00704869" w:rsidRDefault="00704869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C202F9A" w14:textId="6D04169A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4958820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C568242" w14:textId="1BB26AF9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หุ้นสามัญ</w:t>
      </w:r>
      <w:r w:rsidR="00BD685D" w:rsidRPr="00863E3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หุ้นสามัญ</w:t>
      </w:r>
      <w:r w:rsidR="003F1D87" w:rsidRPr="003F1D8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3F1D87" w:rsidRPr="003F1D8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เทนเซ็นต์</w:t>
      </w:r>
      <w:r w:rsidR="003F1D87" w:rsidRPr="003F1D8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โฮลดิ้ง</w:t>
      </w:r>
      <w:r w:rsidR="003F1D87" w:rsidRPr="003F1D8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ลิมิเต็ด</w:t>
      </w:r>
      <w:r w:rsidR="003F1D87" w:rsidRPr="003F1D8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="003F1D87" w:rsidRPr="003F1D87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="003F1D87" w:rsidRPr="003F1D87">
        <w:rPr>
          <w:rFonts w:asciiTheme="majorBidi" w:eastAsia="Angsana New" w:hAnsiTheme="majorBidi" w:cs="Angsana New"/>
          <w:b/>
          <w:bCs/>
          <w:color w:val="000000"/>
          <w:sz w:val="28"/>
        </w:rPr>
        <w:t>Tencent Holdings Limited)</w:t>
      </w:r>
    </w:p>
    <w:p w14:paraId="2DD00827" w14:textId="77777777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ออกโดย ธนาคารกรุงไทย จำกัด (มหาชน) (เลขอ้างอิง [</w:t>
      </w:r>
      <w:r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])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ฮ่องกง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เขตปกครองพิเศษฮ่องกง</w:t>
      </w:r>
    </w:p>
    <w:p w14:paraId="39F8992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17A6E3" w14:textId="1C1B33D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หุ้น</w:t>
      </w:r>
      <w:r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สามัญ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หุ้นสามัญ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เทนเซ็นต์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โฮลดิ้ง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ลิมิเต็ด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จำกัด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3F1D87" w:rsidRPr="003F1D87">
        <w:rPr>
          <w:rFonts w:asciiTheme="majorBidi" w:eastAsia="Angsana New" w:hAnsiTheme="majorBidi" w:cs="Angsana New"/>
          <w:color w:val="000000"/>
          <w:sz w:val="28"/>
        </w:rPr>
        <w:t>Tencent Holdings Limited)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 xml:space="preserve">  ซึ่งเป็นหลักทรัพย์ที่จดทะเบียนในตลาด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 ฮ่องกง เขต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ปกครองพิเศษฮ่องกง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ใบ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165241C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ใบแสดงสิทธิในผลประโยชน์ที่เกิดจากหลักทรัพย์อ้างอิงที่เป็น</w:t>
      </w:r>
    </w:p>
    <w:p w14:paraId="7E525FFB" w14:textId="77777777" w:rsidR="003F1D87" w:rsidRDefault="0086422A" w:rsidP="003F1D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 ที่มีหลักทรัพย์อ้างอิง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เป็น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หุ้นสามัญ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</w:p>
    <w:p w14:paraId="0366679A" w14:textId="5C3D2DFD" w:rsidR="00BD685D" w:rsidRDefault="003F1D87" w:rsidP="003F1D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                                                                                    </w:t>
      </w:r>
      <w:r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เทนเซ็นต์</w:t>
      </w:r>
      <w:r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โฮลดิ้ง</w:t>
      </w:r>
      <w:r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ลิมิเต็ด</w:t>
      </w:r>
      <w:r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จำกัด</w:t>
      </w:r>
      <w:r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Pr="003F1D87">
        <w:rPr>
          <w:rFonts w:asciiTheme="majorBidi" w:eastAsia="Angsana New" w:hAnsiTheme="majorBidi" w:cstheme="majorBidi"/>
          <w:color w:val="000000"/>
          <w:sz w:val="28"/>
        </w:rPr>
        <w:t>Tencent Holdings Limited)</w:t>
      </w:r>
      <w:r w:rsidR="0086422A" w:rsidRPr="00863E34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6CB2A6CA" w14:textId="48F2D86C" w:rsidR="0086422A" w:rsidRPr="00AC7258" w:rsidRDefault="00BD685D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 (เลข</w:t>
      </w:r>
      <w:r w:rsidR="0086422A" w:rsidRPr="00AC7258">
        <w:rPr>
          <w:rFonts w:asciiTheme="majorBidi" w:eastAsia="Angsana New" w:hAnsiTheme="majorBidi" w:cstheme="majorBidi"/>
          <w:color w:val="000000"/>
          <w:sz w:val="28"/>
          <w:cs/>
        </w:rPr>
        <w:t>อ้างอิง [</w:t>
      </w:r>
      <w:r w:rsidR="0086422A" w:rsidRPr="00AC7258">
        <w:rPr>
          <w:rFonts w:ascii="Times New Roman" w:eastAsia="Times New Roman" w:hAnsi="Times New Roman" w:cs="Angsana New" w:hint="cs"/>
          <w:color w:val="000000"/>
          <w:sz w:val="28"/>
          <w:cs/>
        </w:rPr>
        <w:t>●</w:t>
      </w:r>
      <w:r w:rsidR="0086422A" w:rsidRPr="00AC7258">
        <w:rPr>
          <w:rFonts w:asciiTheme="majorBidi" w:eastAsia="Angsana New" w:hAnsiTheme="majorBidi" w:cstheme="majorBidi"/>
          <w:color w:val="000000"/>
          <w:sz w:val="28"/>
          <w:cs/>
        </w:rPr>
        <w:t>])</w:t>
      </w:r>
    </w:p>
    <w:p w14:paraId="1CB58D5E" w14:textId="39DC4328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571576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="00571576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571576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7BFD1DE5" w14:textId="4D24513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571576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3870D6B9" w14:textId="233878F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571576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บาท (</w:t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571576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571576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5BEA4CD9" w14:textId="75A8A8C8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95155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155C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95155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</w:p>
    <w:p w14:paraId="46931246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AC7258">
        <w:rPr>
          <w:rFonts w:ascii="Times New Roman" w:eastAsia="Times New Roman" w:hAnsi="Times New Roman" w:cs="Angsana New" w:hint="cs"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]</w:t>
      </w:r>
    </w:p>
    <w:p w14:paraId="1330E16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AC7258">
        <w:rPr>
          <w:rFonts w:ascii="Times New Roman" w:eastAsia="Times New Roman" w:hAnsi="Times New Roman" w:cs="Angsana New" w:hint="cs"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]</w:t>
      </w:r>
    </w:p>
    <w:p w14:paraId="52C92EA3" w14:textId="5F790D2F" w:rsidR="003F1D87" w:rsidRDefault="0086422A" w:rsidP="003F1D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หุ้น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สามัญ</w:t>
      </w:r>
      <w:r w:rsidR="00960674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เทนเซ็นต์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โฮลดิ้ง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ลิมิเต็ด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F1D87" w:rsidRPr="003F1D87">
        <w:rPr>
          <w:rFonts w:asciiTheme="majorBidi" w:eastAsia="Angsana New" w:hAnsiTheme="majorBidi" w:cs="Angsana New" w:hint="cs"/>
          <w:color w:val="000000"/>
          <w:sz w:val="28"/>
          <w:cs/>
        </w:rPr>
        <w:t>จำกัด</w:t>
      </w:r>
      <w:r w:rsidR="003F1D87" w:rsidRPr="003F1D87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3F1D87" w:rsidRPr="003F1D87">
        <w:rPr>
          <w:rFonts w:asciiTheme="majorBidi" w:eastAsia="Angsana New" w:hAnsiTheme="majorBidi" w:cstheme="majorBidi"/>
          <w:color w:val="000000"/>
          <w:sz w:val="28"/>
        </w:rPr>
        <w:t xml:space="preserve">Tencent </w:t>
      </w:r>
      <w:r w:rsidR="003F1D87">
        <w:rPr>
          <w:rFonts w:asciiTheme="majorBidi" w:eastAsia="Angsana New" w:hAnsiTheme="majorBidi" w:cstheme="majorBidi"/>
          <w:color w:val="000000"/>
          <w:sz w:val="28"/>
        </w:rPr>
        <w:t xml:space="preserve">   </w:t>
      </w:r>
    </w:p>
    <w:p w14:paraId="5544A57B" w14:textId="0B73057D" w:rsidR="0086422A" w:rsidRPr="000B61DD" w:rsidRDefault="003F1D87" w:rsidP="003F1D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000000"/>
          <w:sz w:val="28"/>
        </w:rPr>
        <w:t xml:space="preserve">                                                                                      </w:t>
      </w:r>
      <w:r w:rsidRPr="003F1D87">
        <w:rPr>
          <w:rFonts w:asciiTheme="majorBidi" w:eastAsia="Angsana New" w:hAnsiTheme="majorBidi" w:cstheme="majorBidi"/>
          <w:color w:val="000000"/>
          <w:sz w:val="28"/>
        </w:rPr>
        <w:t>Holdings Limited)</w:t>
      </w:r>
    </w:p>
    <w:p w14:paraId="458D30D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AC7258">
        <w:rPr>
          <w:rFonts w:ascii="Times New Roman" w:eastAsia="Times New Roman" w:hAnsi="Times New Roman" w:cs="Angsana New" w:hint="cs"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]</w:t>
      </w:r>
    </w:p>
    <w:p w14:paraId="39BDB3B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ธนาคารกรุงไทย จำกัด (มหาชน)</w:t>
      </w:r>
    </w:p>
    <w:p w14:paraId="1A91746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77777777" w:rsidR="0086422A" w:rsidRPr="00AC7258" w:rsidRDefault="00A92A4B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03E2E127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]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ของมูลค่าไถ่ถอน โดยมีจำนวนขั้นต่ำที่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[</w:t>
      </w:r>
      <w:r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 ([</w:t>
      </w:r>
      <w:r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])</w:t>
      </w:r>
      <w:r w:rsidRPr="00AC725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บาท </w:t>
      </w:r>
    </w:p>
    <w:p w14:paraId="31E453F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AC7258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>[</w:t>
      </w:r>
      <w:r w:rsidRPr="00AC7258">
        <w:rPr>
          <w:rFonts w:ascii="Times New Roman" w:eastAsia="Times New Roman" w:hAnsi="Times New Roman" w:cs="Angsana New"/>
          <w:b/>
          <w:bCs/>
          <w:color w:val="000000"/>
          <w:spacing w:val="6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>] ([</w:t>
      </w:r>
      <w:r w:rsidRPr="00AC7258">
        <w:rPr>
          <w:rFonts w:ascii="Times New Roman" w:eastAsia="Times New Roman" w:hAnsi="Times New Roman" w:cs="Angsana New"/>
          <w:b/>
          <w:bCs/>
          <w:color w:val="000000"/>
          <w:spacing w:val="6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]) </w:t>
      </w:r>
      <w:r w:rsidRPr="00AC725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ของ [</w:t>
      </w:r>
      <w:r w:rsidRPr="00AC7258">
        <w:rPr>
          <w:rFonts w:ascii="Times New Roman" w:eastAsia="Times New Roman" w:hAnsi="Times New Roman" w:cs="Angsana New"/>
          <w:color w:val="000000"/>
          <w:spacing w:val="6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] ทั้งนี้ </w:t>
      </w:r>
      <w:r w:rsidRPr="00AC725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(สิบ) 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(หกสิบ) วัน ผ่านเว็บไซต์ของผู้ออกใบแสดงสิทธิ </w:t>
      </w:r>
    </w:p>
    <w:p w14:paraId="3665DD7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(สิบ) 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(สิบ) 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556A18E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138653B0" w:rsidR="0086422A" w:rsidRPr="00AC7258" w:rsidRDefault="00A92A4B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4"/>
          <w:id w:val="-30341973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745711" w:rsidRPr="00863E34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>IPO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23455337" w:rsidR="0086422A" w:rsidRPr="00AC7258" w:rsidRDefault="0086422A" w:rsidP="0086422A">
      <w:pPr>
        <w:pStyle w:val="BalloonText"/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  <w:szCs w:val="28"/>
        </w:rPr>
        <w:tab/>
      </w:r>
      <w:r w:rsidR="00745711" w:rsidRPr="00745711">
        <w:rPr>
          <w:rFonts w:asciiTheme="majorBidi" w:eastAsia="Tahoma" w:hAnsiTheme="majorBidi" w:hint="cs"/>
          <w:color w:val="000000"/>
          <w:sz w:val="28"/>
          <w:szCs w:val="28"/>
          <w:cs/>
        </w:rPr>
        <w:t>ค่าใช้จ่าย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ในการซื้อหลักทรัพย์ต่างประเทศ ไม่เกินร้อยละ [•] 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[•] </w:t>
      </w:r>
    </w:p>
    <w:p w14:paraId="3229FBC1" w14:textId="68E25774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4E41F925" w14:textId="6690890C" w:rsidR="00863E34" w:rsidRDefault="00863E34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3EBBE128" w14:textId="268D7CD0" w:rsidR="00704869" w:rsidRDefault="00704869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6759FE98" w14:textId="77777777" w:rsidR="00704869" w:rsidRDefault="00704869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50D6CDB5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77777777" w:rsidR="0086422A" w:rsidRPr="002042F3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A92A4B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7BB9C7D0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133829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 เพื่อให้ตลาดหลักทรัพย์ฯ ประกาศขึ้นเครื่องหมาย </w:t>
      </w:r>
      <w:r w:rsidRPr="00AC7258">
        <w:rPr>
          <w:rFonts w:asciiTheme="majorBidi" w:eastAsia="Angsana New" w:hAnsiTheme="majorBidi" w:cstheme="majorBidi"/>
          <w:sz w:val="28"/>
        </w:rPr>
        <w:t xml:space="preserve">XD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วันทำการก่อนวันปิดสมุดทะเบียนผู้ถือใบแสดงสิทธิ หรือตามระยะเวลาที่ตลาดหลักทรัพย์ฯ กำหนด </w:t>
      </w:r>
    </w:p>
    <w:p w14:paraId="50263A84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) ค่าใช้จ่ายในการจัดส่งเงินปันผลให้แก่ผู้ถือใบแสดงสิทธิ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659FBB5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77777777" w:rsidR="0086422A" w:rsidRPr="00AC7258" w:rsidRDefault="00A92A4B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9"/>
          <w:id w:val="348464772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852DF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86422A">
      <w:pPr>
        <w:numPr>
          <w:ilvl w:val="0"/>
          <w:numId w:val="1"/>
        </w:numPr>
        <w:tabs>
          <w:tab w:val="left" w:pos="1274"/>
          <w:tab w:val="left" w:pos="709"/>
          <w:tab w:val="left" w:pos="1276"/>
        </w:tabs>
        <w:spacing w:before="120" w:after="0" w:line="240" w:lineRule="auto"/>
        <w:ind w:leftChars="0" w:left="1" w:firstLineChars="252" w:firstLine="706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04869">
      <w:pPr>
        <w:numPr>
          <w:ilvl w:val="0"/>
          <w:numId w:val="1"/>
        </w:numPr>
        <w:tabs>
          <w:tab w:val="left" w:pos="1276"/>
          <w:tab w:val="left" w:pos="709"/>
        </w:tabs>
        <w:spacing w:before="120" w:after="0" w:line="240" w:lineRule="auto"/>
        <w:ind w:leftChars="0" w:left="1" w:firstLineChars="251" w:firstLine="708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77777777" w:rsidR="0086422A" w:rsidRPr="00AC7258" w:rsidRDefault="0086422A" w:rsidP="0086422A">
      <w:pPr>
        <w:tabs>
          <w:tab w:val="left" w:pos="1276"/>
          <w:tab w:val="left" w:pos="709"/>
        </w:tabs>
        <w:spacing w:before="120" w:after="0" w:line="240" w:lineRule="auto"/>
        <w:ind w:leftChars="0" w:left="284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157A0182" w:rsidR="00E7041C" w:rsidRPr="00AC7258" w:rsidRDefault="0086422A" w:rsidP="007349F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5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5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58E82F3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622E8864" w:rsidR="00A0689D" w:rsidRPr="00863E34" w:rsidRDefault="00960674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firstLineChars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772BF41B" w14:textId="6F80A1B3" w:rsidR="007349FD" w:rsidRPr="00863E34" w:rsidRDefault="007349FD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lastRenderedPageBreak/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ของผู้ออกหลักทรัพย์ต่างประเทศผ่านระบบการเปิดเผยสารสนเทศของตลาดหลักทรัพย์ฯ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</w:t>
      </w:r>
      <w:r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สิทธิประโยชน์อื่นๆ </w:t>
      </w:r>
    </w:p>
    <w:p w14:paraId="4C413A2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7D60FF0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D256C7E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BFDE6F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EC53F2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 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6014E507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1CA33548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AC7258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C3FC8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AC7258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>10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6024D31" w14:textId="509E3FBD" w:rsidR="0086422A" w:rsidRPr="00AC7258" w:rsidRDefault="00A92A4B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2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6422A" w:rsidRPr="00AC7258">
            <w:rPr>
              <w:rFonts w:asciiTheme="majorBidi" w:hAnsiTheme="majorBidi" w:cs="Angsana New"/>
              <w:sz w:val="28"/>
              <w:cs/>
            </w:rPr>
            <w:t>.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5158416B" w14:textId="7216C775" w:rsidR="0086422A" w:rsidRPr="00AC7258" w:rsidRDefault="00A92A4B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3</w:t>
          </w:r>
        </w:sdtContent>
      </w:sdt>
      <w:r w:rsidR="0086422A" w:rsidRPr="00AC7258">
        <w:rPr>
          <w:rFonts w:asciiTheme="majorBidi" w:hAnsiTheme="majorBidi" w:cs="Angsana New"/>
          <w:sz w:val="28"/>
          <w:cs/>
        </w:rPr>
        <w:t xml:space="preserve">. </w:t>
      </w:r>
      <w:r w:rsidR="0086422A"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86422A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86422A"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86422A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 ([</w:t>
      </w:r>
      <w:r w:rsidR="0086422A"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86422A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])</w:t>
      </w:r>
      <w:r w:rsidR="0086422A" w:rsidRPr="00AC7258">
        <w:rPr>
          <w:rFonts w:asciiTheme="majorBidi" w:eastAsia="Angsana New" w:hAnsiTheme="majorBidi" w:cstheme="majorBidi"/>
          <w:b/>
          <w:bCs/>
          <w:color w:val="FF0000"/>
          <w:sz w:val="28"/>
          <w:cs/>
        </w:rPr>
        <w:t xml:space="preserve"> </w:t>
      </w:r>
      <w:r w:rsidR="0086422A" w:rsidRPr="00AC7258">
        <w:rPr>
          <w:rFonts w:asciiTheme="majorBidi" w:eastAsia="Tahoma" w:hAnsiTheme="majorBidi" w:cstheme="majorBidi"/>
          <w:color w:val="FF0000"/>
          <w:sz w:val="28"/>
          <w:cs/>
        </w:rPr>
        <w:t xml:space="preserve"> 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6422A" w:rsidRPr="00AC7258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86422A">
        <w:rPr>
          <w:rFonts w:asciiTheme="majorBidi" w:eastAsia="Tahoma" w:hAnsiTheme="majorBidi" w:cstheme="majorBidi" w:hint="cs"/>
          <w:color w:val="000000"/>
          <w:sz w:val="28"/>
          <w:cs/>
        </w:rPr>
        <w:t>ฮ่องกง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และตลาดหลักทรัพย์ไทยเปิดทำการพร้อมกัน) </w:t>
      </w:r>
    </w:p>
    <w:sdt>
      <w:sdtPr>
        <w:rPr>
          <w:rFonts w:asciiTheme="majorBidi" w:hAnsiTheme="majorBidi" w:cstheme="majorBidi"/>
          <w:sz w:val="28"/>
        </w:rPr>
        <w:tag w:val="goog_rdk_37"/>
        <w:id w:val="605706695"/>
      </w:sdtPr>
      <w:sdtEndPr/>
      <w:sdtContent>
        <w:p w14:paraId="41D28003" w14:textId="77777777" w:rsidR="0086422A" w:rsidRPr="00AC7258" w:rsidRDefault="00A92A4B" w:rsidP="008642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before="120" w:after="0" w:line="240" w:lineRule="auto"/>
            <w:ind w:left="1" w:hanging="3"/>
            <w:jc w:val="thaiDistribute"/>
            <w:rPr>
              <w:rFonts w:asciiTheme="majorBidi" w:eastAsia="Tahoma" w:hAnsiTheme="majorBidi" w:cstheme="majorBidi"/>
              <w:color w:val="000000"/>
              <w:sz w:val="28"/>
            </w:rPr>
          </w:pPr>
          <w:sdt>
            <w:sdtPr>
              <w:rPr>
                <w:rFonts w:asciiTheme="majorBidi" w:hAnsiTheme="majorBidi" w:cstheme="majorBidi"/>
                <w:sz w:val="28"/>
              </w:rPr>
              <w:tag w:val="goog_rdk_34"/>
              <w:id w:val="1349901756"/>
            </w:sdtPr>
            <w:sdtEndPr/>
            <w:sdtContent>
              <w:r w:rsidR="0086422A" w:rsidRPr="00AC7258">
                <w:rPr>
                  <w:rFonts w:asciiTheme="majorBidi" w:eastAsia="Angsana New" w:hAnsiTheme="majorBidi" w:cstheme="majorBidi"/>
                  <w:color w:val="000000"/>
                  <w:sz w:val="28"/>
                </w:rPr>
                <w:t>4</w:t>
              </w:r>
              <w:r w:rsidR="0086422A" w:rsidRPr="00AC7258">
                <w:rPr>
                  <w:rFonts w:asciiTheme="majorBidi" w:eastAsia="Angsana New" w:hAnsiTheme="majorBidi" w:cs="Angsana New"/>
                  <w:color w:val="000000"/>
                  <w:sz w:val="28"/>
                  <w:cs/>
                </w:rPr>
                <w:t xml:space="preserve">.  </w:t>
              </w:r>
            </w:sdtContent>
          </w:sdt>
          <w:r w:rsidR="0086422A" w:rsidRPr="00AC7258">
            <w:rPr>
              <w:rFonts w:asciiTheme="majorBidi" w:eastAsia="Tahoma" w:hAnsiTheme="majorBidi" w:cstheme="majorBidi"/>
              <w:color w:val="000000"/>
              <w:spacing w:val="-8"/>
              <w:sz w:val="28"/>
              <w:cs/>
            </w:rPr>
    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</w:t>
          </w:r>
          <w:r w:rsidR="0086422A" w:rsidRPr="00AC7258">
            <w:rPr>
              <w:rFonts w:asciiTheme="majorBidi" w:eastAsia="Tahoma" w:hAnsiTheme="majorBidi" w:cstheme="majorBidi"/>
              <w:color w:val="000000"/>
              <w:spacing w:val="6"/>
              <w:sz w:val="28"/>
              <w:cs/>
            </w:rPr>
            <w:t>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    </w:r>
          <w:r w:rsidR="0086422A" w:rsidRPr="00AC7258">
            <w:rPr>
              <w:rFonts w:asciiTheme="majorBidi" w:eastAsia="Tahoma" w:hAnsiTheme="majorBidi" w:cstheme="majorBidi"/>
              <w:color w:val="000000"/>
              <w:spacing w:val="6"/>
              <w:sz w:val="28"/>
              <w:cs/>
            </w:rPr>
            <w:br/>
            <w:t>ผู้ถือใบ</w:t>
          </w:r>
          <w:r w:rsidR="0086422A" w:rsidRPr="00AC7258">
            <w:rPr>
              <w:rFonts w:asciiTheme="majorBidi" w:eastAsia="Tahoma" w:hAnsiTheme="majorBidi" w:cstheme="majorBidi"/>
              <w:color w:val="000000"/>
              <w:sz w:val="28"/>
              <w:cs/>
            </w:rPr>
            <w:t>แสดงสิทธิได้แจ้งความประสงค์ขอไถ่ถอนกับผู้ออกใบแสดงสิทธิ</w:t>
          </w:r>
          <w:sdt>
            <w:sdtPr>
              <w:rPr>
                <w:rFonts w:asciiTheme="majorBidi" w:hAnsiTheme="majorBidi" w:cstheme="majorBidi"/>
                <w:sz w:val="28"/>
              </w:rPr>
              <w:tag w:val="goog_rdk_36"/>
              <w:id w:val="823775914"/>
              <w:showingPlcHdr/>
            </w:sdtPr>
            <w:sdtEndPr/>
            <w:sdtContent>
              <w:r w:rsidR="0086422A" w:rsidRPr="00AC7258">
                <w:rPr>
                  <w:rFonts w:asciiTheme="majorBidi" w:hAnsiTheme="majorBidi" w:cs="Angsana New"/>
                  <w:sz w:val="28"/>
                  <w:cs/>
                </w:rPr>
                <w:t xml:space="preserve">     </w:t>
              </w:r>
            </w:sdtContent>
          </w:sdt>
        </w:p>
      </w:sdtContent>
    </w:sdt>
    <w:p w14:paraId="4385BA46" w14:textId="77777777" w:rsidR="0086422A" w:rsidRPr="00AC7258" w:rsidRDefault="00A92A4B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5</w:t>
          </w:r>
          <w:r w:rsidR="0086422A" w:rsidRPr="00AC7258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6422A"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6422A" w:rsidRPr="00AC725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จากผู้ออกใบ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7C47D855" w14:textId="77777777" w:rsidR="0086422A" w:rsidRPr="00AC7258" w:rsidRDefault="00A92A4B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6</w:t>
          </w:r>
        </w:sdtContent>
      </w:sdt>
      <w:r w:rsidR="0086422A" w:rsidRPr="00AC7258">
        <w:rPr>
          <w:rFonts w:asciiTheme="majorBidi" w:hAnsiTheme="majorBidi" w:cs="Angsana New"/>
          <w:sz w:val="28"/>
          <w:cs/>
        </w:rPr>
        <w:t xml:space="preserve">.  </w:t>
      </w:r>
      <w:r w:rsidR="0086422A" w:rsidRPr="00AC725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จากผู้ออกใบแสดงสิทธิทั้งสิ้น </w:t>
      </w:r>
    </w:p>
    <w:p w14:paraId="6B432AF7" w14:textId="77777777" w:rsidR="0086422A" w:rsidRPr="00AC7258" w:rsidRDefault="00A92A4B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7</w:t>
          </w:r>
          <w:r w:rsidR="0086422A" w:rsidRPr="00AC7258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 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2E7939F7" w14:textId="77777777" w:rsidR="004A1832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77777777" w:rsidR="004A1832" w:rsidRPr="00AC7258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65AF03C4" w14:textId="77777777" w:rsidR="004A1832" w:rsidRPr="00AC7258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Market Capitalization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ต่ำกว่า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1EB92F0B" w14:textId="77777777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C7258">
        <w:rPr>
          <w:rFonts w:asciiTheme="majorBidi" w:eastAsia="Angsana New" w:hAnsiTheme="majorBidi" w:cs="Angsana New"/>
          <w:spacing w:val="-6"/>
          <w:sz w:val="28"/>
        </w:rPr>
        <w:t>50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 (ห้าสิบ) ราย</w:t>
      </w:r>
    </w:p>
    <w:p w14:paraId="036C5E8E" w14:textId="20B232D7" w:rsidR="00704869" w:rsidRDefault="00704869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551BA6" w14:textId="77777777" w:rsidR="00571576" w:rsidRDefault="00571576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สภาวะตลาดหลักทรัพย์ไทย อัตราแลกเปลี่ยนสกุลเงิน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เขตปกครองพิเศษฮ่องกง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ในสภาวะที่ปัจจัยที่ส่งผลต่อการดูแลสภาพคล่องปกติ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ผู้ดูแลสภาพคล่องจะพยายามรักษาให้ราคาเสนอขายต่ำสุด มีค่ามากกว่าราคาเสนอซื้อสูงสุดไม่เกิน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847398">
        <w:rPr>
          <w:rFonts w:ascii="Times New Roman" w:eastAsia="Times New Roman" w:hAnsi="Times New Roman" w:cs="Angsana New"/>
          <w:color w:val="000000"/>
          <w:sz w:val="28"/>
          <w:cs/>
        </w:rPr>
        <w:t>●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]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ของราคาเสนอซื้อสูงสุด ในช่วงเวลาทำการของตลาดหลักทรัพย์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 xml:space="preserve">ฮ่องกง เขตปกครองพิเศษฮ่องกง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และไม่เกิน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847398">
        <w:rPr>
          <w:rFonts w:ascii="Times New Roman" w:eastAsia="Times New Roman" w:hAnsi="Times New Roman" w:cs="Angsana New"/>
          <w:color w:val="000000"/>
          <w:sz w:val="28"/>
          <w:cs/>
        </w:rPr>
        <w:t>●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]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ของราคาเสนอซื้อสูงสุด นอกเหนือช่วงเวลาดังกล่าว โดยจะดูแลสภาพคล่องไม่น้อยกว่า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847398">
        <w:rPr>
          <w:rFonts w:ascii="Times New Roman" w:eastAsia="Times New Roman" w:hAnsi="Times New Roman" w:cs="Angsana New"/>
          <w:color w:val="000000"/>
          <w:sz w:val="28"/>
          <w:cs/>
        </w:rPr>
        <w:t>●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]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ของช่วงเวลาทำการซื้อขายของตลาดหลักทรัพย์ไทย</w:t>
      </w:r>
    </w:p>
    <w:p w14:paraId="6CBD7F4E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>3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847398">
        <w:rPr>
          <w:rFonts w:ascii="Times New Roman" w:eastAsia="Times New Roman" w:hAnsi="Times New Roman" w:cs="Angsana New"/>
          <w:color w:val="000000"/>
          <w:sz w:val="28"/>
          <w:cs/>
        </w:rPr>
        <w:t>●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]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 </w:t>
      </w:r>
    </w:p>
    <w:p w14:paraId="3CC9C04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1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ตลาดหลักทรัพย์ฮ่องกง เขตปกครองพิเศษฮ่องกง ปิดทำการ หรือหยุดทำการในช่วงพักกลางวัน </w:t>
      </w:r>
    </w:p>
    <w:p w14:paraId="62C3F811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2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หรือถูกเพิกถอนจากตลาดหลักทรัพย์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3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หรือตลาดหลักทรัพย์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78040114" w:rsidR="0086422A" w:rsidRPr="00E370AB" w:rsidRDefault="0086422A" w:rsidP="00571576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9B7D" w14:textId="77777777" w:rsidR="00A92A4B" w:rsidRDefault="00A92A4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71DA78" w14:textId="77777777" w:rsidR="00A92A4B" w:rsidRDefault="00A92A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08FE44B5" w:rsidR="00960674" w:rsidRDefault="009606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3F1D87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3F1D87">
      <w:rPr>
        <w:rFonts w:ascii="Angsana New" w:eastAsia="Angsana New" w:hAnsi="Angsana New" w:cs="Angsana New"/>
        <w:b/>
        <w:noProof/>
        <w:color w:val="000000"/>
        <w:sz w:val="28"/>
      </w:rPr>
      <w:t>23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960674" w:rsidRDefault="009606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EF04" w14:textId="77777777" w:rsidR="00A92A4B" w:rsidRDefault="00A92A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7CCA91" w14:textId="77777777" w:rsidR="00A92A4B" w:rsidRDefault="00A92A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960674" w:rsidRDefault="00960674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D"/>
    <w:rsid w:val="00002CD0"/>
    <w:rsid w:val="00005D0E"/>
    <w:rsid w:val="00010356"/>
    <w:rsid w:val="000170C1"/>
    <w:rsid w:val="0003657A"/>
    <w:rsid w:val="00044975"/>
    <w:rsid w:val="0007064B"/>
    <w:rsid w:val="00095622"/>
    <w:rsid w:val="000A3BAF"/>
    <w:rsid w:val="001062EC"/>
    <w:rsid w:val="00113BBD"/>
    <w:rsid w:val="00161821"/>
    <w:rsid w:val="00185DD2"/>
    <w:rsid w:val="00193A1F"/>
    <w:rsid w:val="00195B95"/>
    <w:rsid w:val="00196DB9"/>
    <w:rsid w:val="001C0A59"/>
    <w:rsid w:val="001C52CD"/>
    <w:rsid w:val="001D468C"/>
    <w:rsid w:val="001F7279"/>
    <w:rsid w:val="0021065A"/>
    <w:rsid w:val="00220788"/>
    <w:rsid w:val="002449E6"/>
    <w:rsid w:val="002476F2"/>
    <w:rsid w:val="002B4AA7"/>
    <w:rsid w:val="002C128B"/>
    <w:rsid w:val="002C3C36"/>
    <w:rsid w:val="002D0439"/>
    <w:rsid w:val="002D07D3"/>
    <w:rsid w:val="002E23EA"/>
    <w:rsid w:val="002E357E"/>
    <w:rsid w:val="002F280B"/>
    <w:rsid w:val="003145C0"/>
    <w:rsid w:val="00340DC2"/>
    <w:rsid w:val="00345F9A"/>
    <w:rsid w:val="0035112D"/>
    <w:rsid w:val="00362CC6"/>
    <w:rsid w:val="00364173"/>
    <w:rsid w:val="003753C6"/>
    <w:rsid w:val="003A13D9"/>
    <w:rsid w:val="003B0664"/>
    <w:rsid w:val="003B46A2"/>
    <w:rsid w:val="003F1D87"/>
    <w:rsid w:val="00405892"/>
    <w:rsid w:val="004229C0"/>
    <w:rsid w:val="00422B8E"/>
    <w:rsid w:val="00432888"/>
    <w:rsid w:val="004337F7"/>
    <w:rsid w:val="00456BEB"/>
    <w:rsid w:val="00460DB2"/>
    <w:rsid w:val="00461423"/>
    <w:rsid w:val="004917E3"/>
    <w:rsid w:val="0049465F"/>
    <w:rsid w:val="004A1832"/>
    <w:rsid w:val="004A5309"/>
    <w:rsid w:val="004C2C50"/>
    <w:rsid w:val="004C72E1"/>
    <w:rsid w:val="004E2DD9"/>
    <w:rsid w:val="004E33B5"/>
    <w:rsid w:val="005068DB"/>
    <w:rsid w:val="005256A9"/>
    <w:rsid w:val="00531067"/>
    <w:rsid w:val="0055005E"/>
    <w:rsid w:val="00571576"/>
    <w:rsid w:val="00573E73"/>
    <w:rsid w:val="005E7E6D"/>
    <w:rsid w:val="005F0124"/>
    <w:rsid w:val="00602E67"/>
    <w:rsid w:val="0060740A"/>
    <w:rsid w:val="00630E0A"/>
    <w:rsid w:val="0064632B"/>
    <w:rsid w:val="00662E35"/>
    <w:rsid w:val="00674A85"/>
    <w:rsid w:val="006952AE"/>
    <w:rsid w:val="006A08BB"/>
    <w:rsid w:val="006B76C9"/>
    <w:rsid w:val="00704869"/>
    <w:rsid w:val="007349FD"/>
    <w:rsid w:val="00737EF0"/>
    <w:rsid w:val="00745711"/>
    <w:rsid w:val="00752073"/>
    <w:rsid w:val="007550D3"/>
    <w:rsid w:val="007B05BE"/>
    <w:rsid w:val="007B513D"/>
    <w:rsid w:val="007E0ECA"/>
    <w:rsid w:val="007F66F0"/>
    <w:rsid w:val="00801E8F"/>
    <w:rsid w:val="00863E34"/>
    <w:rsid w:val="0086422A"/>
    <w:rsid w:val="008A2668"/>
    <w:rsid w:val="008D513F"/>
    <w:rsid w:val="00902505"/>
    <w:rsid w:val="0090740C"/>
    <w:rsid w:val="009301B2"/>
    <w:rsid w:val="009317E2"/>
    <w:rsid w:val="00933B36"/>
    <w:rsid w:val="009438EE"/>
    <w:rsid w:val="0095155C"/>
    <w:rsid w:val="009536EB"/>
    <w:rsid w:val="00960674"/>
    <w:rsid w:val="009D03F4"/>
    <w:rsid w:val="009E7292"/>
    <w:rsid w:val="00A03324"/>
    <w:rsid w:val="00A0689D"/>
    <w:rsid w:val="00A456A7"/>
    <w:rsid w:val="00A92A4B"/>
    <w:rsid w:val="00AA2D7A"/>
    <w:rsid w:val="00AC3B54"/>
    <w:rsid w:val="00AC7258"/>
    <w:rsid w:val="00AD5AFA"/>
    <w:rsid w:val="00AE6976"/>
    <w:rsid w:val="00AF080D"/>
    <w:rsid w:val="00AF5344"/>
    <w:rsid w:val="00B20467"/>
    <w:rsid w:val="00B31F74"/>
    <w:rsid w:val="00B35AC6"/>
    <w:rsid w:val="00B454AD"/>
    <w:rsid w:val="00B57369"/>
    <w:rsid w:val="00B73C36"/>
    <w:rsid w:val="00B779EF"/>
    <w:rsid w:val="00BA0D7E"/>
    <w:rsid w:val="00BC52AF"/>
    <w:rsid w:val="00BD685D"/>
    <w:rsid w:val="00C26CD8"/>
    <w:rsid w:val="00C45B6B"/>
    <w:rsid w:val="00C566AD"/>
    <w:rsid w:val="00C77833"/>
    <w:rsid w:val="00CD19DA"/>
    <w:rsid w:val="00CD26F2"/>
    <w:rsid w:val="00CF2332"/>
    <w:rsid w:val="00D3602D"/>
    <w:rsid w:val="00D64A1F"/>
    <w:rsid w:val="00D6520C"/>
    <w:rsid w:val="00D662C6"/>
    <w:rsid w:val="00DB468B"/>
    <w:rsid w:val="00DD346F"/>
    <w:rsid w:val="00DD5CB1"/>
    <w:rsid w:val="00DE5897"/>
    <w:rsid w:val="00DF127B"/>
    <w:rsid w:val="00E12D14"/>
    <w:rsid w:val="00E370AB"/>
    <w:rsid w:val="00E612DD"/>
    <w:rsid w:val="00E7041C"/>
    <w:rsid w:val="00E92580"/>
    <w:rsid w:val="00EA68D0"/>
    <w:rsid w:val="00EC4549"/>
    <w:rsid w:val="00EE30FA"/>
    <w:rsid w:val="00EE6CCC"/>
    <w:rsid w:val="00F11C1D"/>
    <w:rsid w:val="00F45469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D26A837-7509-41B9-81D2-A11D005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Props1.xml><?xml version="1.0" encoding="utf-8"?>
<ds:datastoreItem xmlns:ds="http://schemas.openxmlformats.org/officeDocument/2006/customXml" ds:itemID="{C11480CC-CE23-4629-907D-C84D60625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9444</Words>
  <Characters>53831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varapinyok pansirichote</cp:lastModifiedBy>
  <cp:revision>7</cp:revision>
  <cp:lastPrinted>2021-10-18T01:26:00Z</cp:lastPrinted>
  <dcterms:created xsi:type="dcterms:W3CDTF">2021-11-23T03:47:00Z</dcterms:created>
  <dcterms:modified xsi:type="dcterms:W3CDTF">2021-11-23T07:14:00Z</dcterms:modified>
</cp:coreProperties>
</file>